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28C" w:rsidRDefault="003D728C">
      <w:r>
        <w:rPr>
          <w:noProof/>
          <w:lang w:eastAsia="en-GB"/>
        </w:rPr>
        <w:drawing>
          <wp:anchor distT="0" distB="0" distL="114300" distR="114300" simplePos="0" relativeHeight="251659264" behindDoc="1" locked="0" layoutInCell="1" allowOverlap="1">
            <wp:simplePos x="0" y="0"/>
            <wp:positionH relativeFrom="margin">
              <wp:posOffset>0</wp:posOffset>
            </wp:positionH>
            <wp:positionV relativeFrom="paragraph">
              <wp:posOffset>-66675</wp:posOffset>
            </wp:positionV>
            <wp:extent cx="3072765" cy="695325"/>
            <wp:effectExtent l="0" t="0" r="0" b="0"/>
            <wp:wrapTight wrapText="bothSides">
              <wp:wrapPolygon edited="0">
                <wp:start x="0" y="0"/>
                <wp:lineTo x="0" y="20712"/>
                <wp:lineTo x="21426" y="20712"/>
                <wp:lineTo x="21426" y="0"/>
                <wp:lineTo x="0" y="0"/>
              </wp:wrapPolygon>
            </wp:wrapTight>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CD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7276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728C" w:rsidRDefault="003D728C"/>
    <w:p w:rsidR="00584DB6" w:rsidRDefault="00A364AB">
      <w:pPr>
        <w:rPr>
          <w:rFonts w:ascii="Arial" w:hAnsi="Arial" w:cs="Arial"/>
          <w:b/>
          <w:sz w:val="24"/>
          <w:szCs w:val="24"/>
        </w:rPr>
      </w:pPr>
    </w:p>
    <w:p w:rsidR="00584DB6" w:rsidRPr="00661DCC" w:rsidRDefault="00A364AB" w:rsidP="00584DB6">
      <w:pPr>
        <w:spacing w:after="0" w:line="240" w:lineRule="auto"/>
        <w:jc w:val="both"/>
        <w:rPr>
          <w:rFonts w:ascii="Arial" w:eastAsia="Times New Roman" w:hAnsi="Arial" w:cs="Arial"/>
          <w:b/>
          <w:bCs/>
          <w:sz w:val="24"/>
          <w:szCs w:val="24"/>
        </w:rPr>
      </w:pPr>
      <w:r>
        <w:rPr>
          <w:rFonts w:ascii="Arial" w:hAnsi="Arial"/>
          <w:noProof/>
          <w:sz w:val="24"/>
          <w:lang w:eastAsia="en-GB"/>
        </w:rPr>
        <mc:AlternateContent>
          <mc:Choice Requires="wps">
            <w:drawing>
              <wp:anchor distT="0" distB="0" distL="114300" distR="114300" simplePos="0" relativeHeight="251661312" behindDoc="0" locked="0" layoutInCell="1" allowOverlap="1">
                <wp:simplePos x="0" y="0"/>
                <wp:positionH relativeFrom="column">
                  <wp:posOffset>19685</wp:posOffset>
                </wp:positionH>
                <wp:positionV relativeFrom="paragraph">
                  <wp:posOffset>267970</wp:posOffset>
                </wp:positionV>
                <wp:extent cx="5676265" cy="451485"/>
                <wp:effectExtent l="0" t="0" r="19685" b="2540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451485"/>
                        </a:xfrm>
                        <a:prstGeom prst="rect">
                          <a:avLst/>
                        </a:prstGeom>
                        <a:solidFill>
                          <a:srgbClr val="FFFFFF"/>
                        </a:solidFill>
                        <a:ln w="9525">
                          <a:solidFill>
                            <a:srgbClr val="000000"/>
                          </a:solidFill>
                          <a:miter lim="800000"/>
                          <a:headEnd/>
                          <a:tailEnd/>
                        </a:ln>
                      </wps:spPr>
                      <wps:txbx>
                        <w:txbxContent>
                          <w:p w:rsidR="00297868" w:rsidRDefault="00A364AB" w:rsidP="00584DB6">
                            <w:pPr>
                              <w:pStyle w:val="NoSpacing"/>
                              <w:rPr>
                                <w:rFonts w:ascii="Arial" w:hAnsi="Arial" w:cs="Arial"/>
                                <w:b/>
                                <w:sz w:val="24"/>
                                <w:szCs w:val="24"/>
                              </w:rPr>
                            </w:pPr>
                            <w:r w:rsidRPr="00661DCC">
                              <w:rPr>
                                <w:rFonts w:ascii="Arial" w:hAnsi="Arial" w:cs="Arial"/>
                                <w:b/>
                                <w:sz w:val="24"/>
                                <w:szCs w:val="24"/>
                              </w:rPr>
                              <w:t xml:space="preserve">END OF YEAR FINANCE REPORT – 2015-16 </w:t>
                            </w:r>
                          </w:p>
                          <w:p w:rsidR="00A364AB" w:rsidRPr="00661DCC" w:rsidRDefault="00A364AB" w:rsidP="00584DB6">
                            <w:pPr>
                              <w:pStyle w:val="NoSpacing"/>
                              <w:rPr>
                                <w:rFonts w:ascii="Arial" w:hAnsi="Arial" w:cs="Arial"/>
                                <w:b/>
                                <w:sz w:val="24"/>
                                <w:szCs w:val="24"/>
                              </w:rPr>
                            </w:pPr>
                            <w:r>
                              <w:rPr>
                                <w:rFonts w:ascii="Arial" w:hAnsi="Arial" w:cs="Arial"/>
                                <w:b/>
                                <w:sz w:val="24"/>
                                <w:szCs w:val="24"/>
                              </w:rPr>
                              <w:t>(Appendix 'A' Refers)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1.55pt;margin-top:21.1pt;width:446.95pt;height:3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">
                <v:textbox style="mso-fit-shape-to-text:t">
                  <w:txbxContent>
                    <w:p w:rsidR="00297868" w:rsidRDefault="00A364AB" w:rsidP="00584DB6">
                      <w:pPr>
                        <w:pStyle w:val="NoSpacing"/>
                        <w:rPr>
                          <w:rFonts w:ascii="Arial" w:hAnsi="Arial" w:cs="Arial"/>
                          <w:b/>
                          <w:sz w:val="24"/>
                          <w:szCs w:val="24"/>
                        </w:rPr>
                      </w:pPr>
                      <w:r w:rsidRPr="00661DCC">
                        <w:rPr>
                          <w:rFonts w:ascii="Arial" w:hAnsi="Arial" w:cs="Arial"/>
                          <w:b/>
                          <w:sz w:val="24"/>
                          <w:szCs w:val="24"/>
                        </w:rPr>
                        <w:t xml:space="preserve">END OF YEAR FINANCE REPORT – 2015-16 </w:t>
                      </w:r>
                    </w:p>
                    <w:p w:rsidR="00A364AB" w:rsidRPr="00661DCC" w:rsidRDefault="00A364AB" w:rsidP="00584DB6">
                      <w:pPr>
                        <w:pStyle w:val="NoSpacing"/>
                        <w:rPr>
                          <w:rFonts w:ascii="Arial" w:hAnsi="Arial" w:cs="Arial"/>
                          <w:b/>
                          <w:sz w:val="24"/>
                          <w:szCs w:val="24"/>
                        </w:rPr>
                      </w:pPr>
                      <w:r>
                        <w:rPr>
                          <w:rFonts w:ascii="Arial" w:hAnsi="Arial" w:cs="Arial"/>
                          <w:b/>
                          <w:sz w:val="24"/>
                          <w:szCs w:val="24"/>
                        </w:rPr>
                        <w:t>(Appendix 'A' Refers)</w:t>
                      </w:r>
                    </w:p>
                  </w:txbxContent>
                </v:textbox>
                <w10:wrap type="square"/>
              </v:shape>
            </w:pict>
          </mc:Fallback>
        </mc:AlternateContent>
      </w:r>
      <w:r w:rsidRPr="00661DCC">
        <w:rPr>
          <w:rFonts w:ascii="Arial" w:eastAsia="Times New Roman" w:hAnsi="Arial" w:cs="Arial"/>
          <w:b/>
          <w:bCs/>
          <w:sz w:val="24"/>
          <w:szCs w:val="24"/>
        </w:rPr>
        <w:t>CITY DEAL EXECUTIVE &amp; STEWARDSHIP BOARD– 22</w:t>
      </w:r>
      <w:r w:rsidRPr="00661DCC">
        <w:rPr>
          <w:rFonts w:ascii="Arial" w:eastAsia="Times New Roman" w:hAnsi="Arial" w:cs="Arial"/>
          <w:b/>
          <w:bCs/>
          <w:sz w:val="24"/>
          <w:szCs w:val="24"/>
          <w:vertAlign w:val="superscript"/>
        </w:rPr>
        <w:t>nd</w:t>
      </w:r>
      <w:r w:rsidRPr="00661DCC">
        <w:rPr>
          <w:rFonts w:ascii="Arial" w:eastAsia="Times New Roman" w:hAnsi="Arial" w:cs="Arial"/>
          <w:b/>
          <w:bCs/>
          <w:sz w:val="24"/>
          <w:szCs w:val="24"/>
        </w:rPr>
        <w:t xml:space="preserve"> June 2016</w:t>
      </w:r>
    </w:p>
    <w:p w:rsidR="00584DB6" w:rsidRPr="00661DCC" w:rsidRDefault="00A364AB" w:rsidP="00584DB6">
      <w:pPr>
        <w:autoSpaceDE w:val="0"/>
        <w:autoSpaceDN w:val="0"/>
        <w:adjustRightInd w:val="0"/>
        <w:spacing w:after="0" w:line="240" w:lineRule="auto"/>
        <w:jc w:val="both"/>
        <w:rPr>
          <w:rFonts w:ascii="Arial" w:hAnsi="Arial" w:cs="Arial"/>
          <w:b/>
          <w:sz w:val="24"/>
          <w:szCs w:val="24"/>
        </w:rPr>
      </w:pPr>
    </w:p>
    <w:p w:rsidR="00297868" w:rsidRDefault="00A364AB">
      <w:pPr>
        <w:rPr>
          <w:rFonts w:ascii="Arial" w:hAnsi="Arial" w:cs="Arial"/>
          <w:b/>
          <w:sz w:val="24"/>
          <w:szCs w:val="24"/>
        </w:rPr>
      </w:pPr>
      <w:r>
        <w:rPr>
          <w:rFonts w:ascii="Arial" w:hAnsi="Arial" w:cs="Arial"/>
          <w:b/>
          <w:sz w:val="24"/>
          <w:szCs w:val="24"/>
        </w:rPr>
        <w:t xml:space="preserve">Report Author: </w:t>
      </w:r>
      <w:r w:rsidRPr="00A364AB">
        <w:rPr>
          <w:rFonts w:ascii="Arial" w:hAnsi="Arial" w:cs="Arial"/>
          <w:sz w:val="24"/>
          <w:szCs w:val="24"/>
        </w:rPr>
        <w:t xml:space="preserve">Jo Ainsworth, Specialist Advisor </w:t>
      </w:r>
      <w:r w:rsidRPr="00A364AB">
        <w:rPr>
          <w:rFonts w:ascii="Arial" w:hAnsi="Arial" w:cs="Arial"/>
          <w:sz w:val="24"/>
          <w:szCs w:val="24"/>
        </w:rPr>
        <w:t>–</w:t>
      </w:r>
      <w:r w:rsidRPr="00A364AB">
        <w:rPr>
          <w:rFonts w:ascii="Arial" w:hAnsi="Arial" w:cs="Arial"/>
          <w:sz w:val="24"/>
          <w:szCs w:val="24"/>
        </w:rPr>
        <w:t xml:space="preserve"> Finance</w:t>
      </w:r>
      <w:r>
        <w:rPr>
          <w:rFonts w:ascii="Arial" w:hAnsi="Arial" w:cs="Arial"/>
          <w:sz w:val="24"/>
          <w:szCs w:val="24"/>
        </w:rPr>
        <w:t>, Lancashire County Council</w:t>
      </w:r>
    </w:p>
    <w:p w:rsidR="00297868" w:rsidRDefault="00A364AB">
      <w:pPr>
        <w:rPr>
          <w:rFonts w:ascii="Arial" w:hAnsi="Arial" w:cs="Arial"/>
          <w:b/>
          <w:sz w:val="24"/>
          <w:szCs w:val="24"/>
        </w:rPr>
      </w:pPr>
      <w:r>
        <w:rPr>
          <w:rFonts w:ascii="Arial" w:hAnsi="Arial" w:cs="Arial"/>
          <w:b/>
          <w:sz w:val="24"/>
          <w:szCs w:val="24"/>
        </w:rPr>
        <w:t>Executive Summary</w:t>
      </w:r>
    </w:p>
    <w:p w:rsidR="00297868" w:rsidRDefault="00A364AB" w:rsidP="00A364AB">
      <w:pPr>
        <w:spacing w:after="0" w:line="240" w:lineRule="auto"/>
        <w:rPr>
          <w:rFonts w:ascii="Arial" w:hAnsi="Arial" w:cs="Arial"/>
          <w:sz w:val="24"/>
          <w:szCs w:val="24"/>
        </w:rPr>
      </w:pPr>
      <w:r w:rsidRPr="00A364AB">
        <w:rPr>
          <w:rFonts w:ascii="Arial" w:hAnsi="Arial" w:cs="Arial"/>
          <w:sz w:val="24"/>
          <w:szCs w:val="24"/>
        </w:rPr>
        <w:t xml:space="preserve">To present the Year End Finance Report for 2015-16. </w:t>
      </w:r>
    </w:p>
    <w:p w:rsidR="00A364AB" w:rsidRPr="00A364AB" w:rsidRDefault="00A364AB" w:rsidP="00A364AB">
      <w:pPr>
        <w:spacing w:after="0" w:line="240" w:lineRule="auto"/>
        <w:rPr>
          <w:rFonts w:ascii="Arial" w:hAnsi="Arial" w:cs="Arial"/>
          <w:sz w:val="24"/>
          <w:szCs w:val="24"/>
        </w:rPr>
      </w:pPr>
    </w:p>
    <w:p w:rsidR="00297868" w:rsidRDefault="00A364AB" w:rsidP="00A364AB">
      <w:pPr>
        <w:spacing w:after="0" w:line="240" w:lineRule="auto"/>
        <w:rPr>
          <w:rFonts w:ascii="Arial" w:hAnsi="Arial" w:cs="Arial"/>
          <w:b/>
          <w:sz w:val="24"/>
          <w:szCs w:val="24"/>
        </w:rPr>
      </w:pPr>
      <w:r>
        <w:rPr>
          <w:rFonts w:ascii="Arial" w:hAnsi="Arial" w:cs="Arial"/>
          <w:b/>
          <w:sz w:val="24"/>
          <w:szCs w:val="24"/>
        </w:rPr>
        <w:t xml:space="preserve">Recommendation </w:t>
      </w:r>
    </w:p>
    <w:p w:rsidR="00A364AB" w:rsidRDefault="00A364AB" w:rsidP="00A364AB">
      <w:pPr>
        <w:spacing w:after="0" w:line="240" w:lineRule="auto"/>
        <w:rPr>
          <w:rFonts w:ascii="Arial" w:hAnsi="Arial" w:cs="Arial"/>
          <w:b/>
          <w:sz w:val="24"/>
          <w:szCs w:val="24"/>
        </w:rPr>
      </w:pPr>
    </w:p>
    <w:p w:rsidR="00297868" w:rsidRDefault="00A364AB" w:rsidP="00A364AB">
      <w:pPr>
        <w:spacing w:after="0" w:line="240" w:lineRule="auto"/>
        <w:rPr>
          <w:rFonts w:ascii="Arial" w:hAnsi="Arial" w:cs="Arial"/>
          <w:sz w:val="24"/>
          <w:szCs w:val="24"/>
        </w:rPr>
      </w:pPr>
      <w:r w:rsidRPr="00A364AB">
        <w:rPr>
          <w:rFonts w:ascii="Arial" w:hAnsi="Arial" w:cs="Arial"/>
          <w:sz w:val="24"/>
          <w:szCs w:val="24"/>
        </w:rPr>
        <w:t>The City Deal Ex</w:t>
      </w:r>
      <w:r>
        <w:rPr>
          <w:rFonts w:ascii="Arial" w:hAnsi="Arial" w:cs="Arial"/>
          <w:sz w:val="24"/>
          <w:szCs w:val="24"/>
        </w:rPr>
        <w:t>ecutive and Stewardship Board are</w:t>
      </w:r>
      <w:r w:rsidRPr="00A364AB">
        <w:rPr>
          <w:rFonts w:ascii="Arial" w:hAnsi="Arial" w:cs="Arial"/>
          <w:sz w:val="24"/>
          <w:szCs w:val="24"/>
        </w:rPr>
        <w:t xml:space="preserve"> requested to note the Year End Finance Report for 2015 -2</w:t>
      </w:r>
      <w:r>
        <w:rPr>
          <w:rFonts w:ascii="Arial" w:hAnsi="Arial" w:cs="Arial"/>
          <w:sz w:val="24"/>
          <w:szCs w:val="24"/>
        </w:rPr>
        <w:t>0</w:t>
      </w:r>
      <w:r w:rsidRPr="00A364AB">
        <w:rPr>
          <w:rFonts w:ascii="Arial" w:hAnsi="Arial" w:cs="Arial"/>
          <w:sz w:val="24"/>
          <w:szCs w:val="24"/>
        </w:rPr>
        <w:t>16</w:t>
      </w:r>
      <w:r>
        <w:rPr>
          <w:rFonts w:ascii="Arial" w:hAnsi="Arial" w:cs="Arial"/>
          <w:sz w:val="24"/>
          <w:szCs w:val="24"/>
        </w:rPr>
        <w:t>.</w:t>
      </w:r>
      <w:r w:rsidRPr="00A364AB">
        <w:rPr>
          <w:rFonts w:ascii="Arial" w:hAnsi="Arial" w:cs="Arial"/>
          <w:sz w:val="24"/>
          <w:szCs w:val="24"/>
        </w:rPr>
        <w:t xml:space="preserve"> </w:t>
      </w:r>
      <w:bookmarkStart w:id="0" w:name="_GoBack"/>
      <w:bookmarkEnd w:id="0"/>
    </w:p>
    <w:p w:rsidR="00A364AB" w:rsidRPr="00A364AB" w:rsidRDefault="00A364AB" w:rsidP="00A364AB">
      <w:pPr>
        <w:spacing w:after="0" w:line="240" w:lineRule="auto"/>
        <w:rPr>
          <w:rFonts w:ascii="Arial" w:hAnsi="Arial" w:cs="Arial"/>
          <w:sz w:val="24"/>
          <w:szCs w:val="24"/>
        </w:rPr>
      </w:pPr>
    </w:p>
    <w:p w:rsidR="003D728C" w:rsidRDefault="003D728C" w:rsidP="00A364AB">
      <w:pPr>
        <w:spacing w:after="0" w:line="240" w:lineRule="auto"/>
        <w:rPr>
          <w:rFonts w:ascii="Arial" w:hAnsi="Arial" w:cs="Arial"/>
          <w:b/>
          <w:sz w:val="24"/>
          <w:szCs w:val="24"/>
        </w:rPr>
      </w:pPr>
      <w:r w:rsidRPr="00661DCC">
        <w:rPr>
          <w:rFonts w:ascii="Arial" w:hAnsi="Arial" w:cs="Arial"/>
          <w:b/>
          <w:sz w:val="24"/>
          <w:szCs w:val="24"/>
        </w:rPr>
        <w:t>Introduction</w:t>
      </w:r>
    </w:p>
    <w:p w:rsidR="00A364AB" w:rsidRPr="00661DCC" w:rsidRDefault="00A364AB" w:rsidP="00A364AB">
      <w:pPr>
        <w:spacing w:after="0" w:line="240" w:lineRule="auto"/>
        <w:rPr>
          <w:rFonts w:ascii="Arial" w:hAnsi="Arial" w:cs="Arial"/>
          <w:b/>
          <w:sz w:val="24"/>
          <w:szCs w:val="24"/>
        </w:rPr>
      </w:pPr>
    </w:p>
    <w:p w:rsidR="00A364AB" w:rsidRDefault="003D728C" w:rsidP="00A364AB">
      <w:pPr>
        <w:spacing w:after="0" w:line="240" w:lineRule="auto"/>
        <w:jc w:val="both"/>
        <w:rPr>
          <w:rFonts w:ascii="Arial" w:hAnsi="Arial" w:cs="Arial"/>
          <w:sz w:val="24"/>
          <w:szCs w:val="24"/>
        </w:rPr>
      </w:pPr>
      <w:r w:rsidRPr="00661DCC">
        <w:rPr>
          <w:rFonts w:ascii="Arial" w:hAnsi="Arial" w:cs="Arial"/>
          <w:sz w:val="24"/>
          <w:szCs w:val="24"/>
        </w:rPr>
        <w:t xml:space="preserve">The </w:t>
      </w:r>
      <w:r w:rsidR="00A364AB">
        <w:rPr>
          <w:rFonts w:ascii="Arial" w:hAnsi="Arial" w:cs="Arial"/>
          <w:sz w:val="24"/>
          <w:szCs w:val="24"/>
        </w:rPr>
        <w:t>C</w:t>
      </w:r>
      <w:r w:rsidRPr="00661DCC">
        <w:rPr>
          <w:rFonts w:ascii="Arial" w:hAnsi="Arial" w:cs="Arial"/>
          <w:sz w:val="24"/>
          <w:szCs w:val="24"/>
        </w:rPr>
        <w:t xml:space="preserve">ity </w:t>
      </w:r>
      <w:r w:rsidR="00A364AB">
        <w:rPr>
          <w:rFonts w:ascii="Arial" w:hAnsi="Arial" w:cs="Arial"/>
          <w:sz w:val="24"/>
          <w:szCs w:val="24"/>
        </w:rPr>
        <w:t>D</w:t>
      </w:r>
      <w:r w:rsidRPr="00661DCC">
        <w:rPr>
          <w:rFonts w:ascii="Arial" w:hAnsi="Arial" w:cs="Arial"/>
          <w:sz w:val="24"/>
          <w:szCs w:val="24"/>
        </w:rPr>
        <w:t xml:space="preserve">eal infrastructure delivery model ("the model") is a finance model showing the finance activity to date and expected within the </w:t>
      </w:r>
      <w:r w:rsidR="00A364AB">
        <w:rPr>
          <w:rFonts w:ascii="Arial" w:hAnsi="Arial" w:cs="Arial"/>
          <w:sz w:val="24"/>
          <w:szCs w:val="24"/>
        </w:rPr>
        <w:t>C</w:t>
      </w:r>
      <w:r w:rsidRPr="00661DCC">
        <w:rPr>
          <w:rFonts w:ascii="Arial" w:hAnsi="Arial" w:cs="Arial"/>
          <w:sz w:val="24"/>
          <w:szCs w:val="24"/>
        </w:rPr>
        <w:t xml:space="preserve">ity </w:t>
      </w:r>
      <w:r w:rsidR="00A364AB">
        <w:rPr>
          <w:rFonts w:ascii="Arial" w:hAnsi="Arial" w:cs="Arial"/>
          <w:sz w:val="24"/>
          <w:szCs w:val="24"/>
        </w:rPr>
        <w:t>D</w:t>
      </w:r>
      <w:r w:rsidRPr="00661DCC">
        <w:rPr>
          <w:rFonts w:ascii="Arial" w:hAnsi="Arial" w:cs="Arial"/>
          <w:sz w:val="24"/>
          <w:szCs w:val="24"/>
        </w:rPr>
        <w:t>eal.   The model is split into two sections -</w:t>
      </w:r>
      <w:r w:rsidR="00A364AB" w:rsidRPr="00661DCC">
        <w:rPr>
          <w:rFonts w:ascii="Arial" w:hAnsi="Arial" w:cs="Arial"/>
          <w:sz w:val="24"/>
          <w:szCs w:val="24"/>
        </w:rPr>
        <w:t xml:space="preserve"> </w:t>
      </w:r>
      <w:r w:rsidRPr="00661DCC">
        <w:rPr>
          <w:rFonts w:ascii="Arial" w:hAnsi="Arial" w:cs="Arial"/>
          <w:sz w:val="24"/>
          <w:szCs w:val="24"/>
        </w:rPr>
        <w:t>resources being income to be received into the model from the various income streams and delivery programmes being expenditure paid or forecast to be paid</w:t>
      </w:r>
      <w:r w:rsidR="00A364AB" w:rsidRPr="00661DCC">
        <w:rPr>
          <w:rFonts w:ascii="Arial" w:hAnsi="Arial" w:cs="Arial"/>
          <w:sz w:val="24"/>
          <w:szCs w:val="24"/>
        </w:rPr>
        <w:t xml:space="preserve"> on the infrastructure schemes.  </w:t>
      </w:r>
    </w:p>
    <w:p w:rsidR="00A364AB" w:rsidRDefault="00A364AB" w:rsidP="00A364AB">
      <w:pPr>
        <w:spacing w:after="0" w:line="240" w:lineRule="auto"/>
        <w:jc w:val="both"/>
        <w:rPr>
          <w:rFonts w:ascii="Arial" w:hAnsi="Arial" w:cs="Arial"/>
          <w:sz w:val="24"/>
          <w:szCs w:val="24"/>
        </w:rPr>
      </w:pPr>
    </w:p>
    <w:p w:rsidR="003D728C" w:rsidRDefault="003D728C" w:rsidP="00A364AB">
      <w:pPr>
        <w:spacing w:after="0" w:line="240" w:lineRule="auto"/>
        <w:jc w:val="both"/>
        <w:rPr>
          <w:rFonts w:ascii="Arial" w:hAnsi="Arial" w:cs="Arial"/>
          <w:sz w:val="24"/>
          <w:szCs w:val="24"/>
        </w:rPr>
      </w:pPr>
      <w:r w:rsidRPr="00661DCC">
        <w:rPr>
          <w:rFonts w:ascii="Arial" w:hAnsi="Arial" w:cs="Arial"/>
          <w:sz w:val="24"/>
          <w:szCs w:val="24"/>
        </w:rPr>
        <w:t xml:space="preserve">The </w:t>
      </w:r>
      <w:r w:rsidR="00A364AB">
        <w:rPr>
          <w:rFonts w:ascii="Arial" w:hAnsi="Arial" w:cs="Arial"/>
          <w:sz w:val="24"/>
          <w:szCs w:val="24"/>
        </w:rPr>
        <w:t>C</w:t>
      </w:r>
      <w:r w:rsidRPr="00661DCC">
        <w:rPr>
          <w:rFonts w:ascii="Arial" w:hAnsi="Arial" w:cs="Arial"/>
          <w:sz w:val="24"/>
          <w:szCs w:val="24"/>
        </w:rPr>
        <w:t xml:space="preserve">ity </w:t>
      </w:r>
      <w:r w:rsidR="00A364AB">
        <w:rPr>
          <w:rFonts w:ascii="Arial" w:hAnsi="Arial" w:cs="Arial"/>
          <w:sz w:val="24"/>
          <w:szCs w:val="24"/>
        </w:rPr>
        <w:t>D</w:t>
      </w:r>
      <w:r w:rsidRPr="00661DCC">
        <w:rPr>
          <w:rFonts w:ascii="Arial" w:hAnsi="Arial" w:cs="Arial"/>
          <w:sz w:val="24"/>
          <w:szCs w:val="24"/>
        </w:rPr>
        <w:t xml:space="preserve">eal </w:t>
      </w:r>
      <w:r w:rsidR="00A364AB">
        <w:rPr>
          <w:rFonts w:ascii="Arial" w:hAnsi="Arial" w:cs="Arial"/>
          <w:sz w:val="24"/>
          <w:szCs w:val="24"/>
        </w:rPr>
        <w:t>is</w:t>
      </w:r>
      <w:r w:rsidR="00A364AB" w:rsidRPr="00661DCC">
        <w:rPr>
          <w:rFonts w:ascii="Arial" w:hAnsi="Arial" w:cs="Arial"/>
          <w:sz w:val="24"/>
          <w:szCs w:val="24"/>
        </w:rPr>
        <w:t xml:space="preserve"> </w:t>
      </w:r>
      <w:r w:rsidRPr="00661DCC">
        <w:rPr>
          <w:rFonts w:ascii="Arial" w:hAnsi="Arial" w:cs="Arial"/>
          <w:sz w:val="24"/>
          <w:szCs w:val="24"/>
        </w:rPr>
        <w:t xml:space="preserve">an accelerated delivery model </w:t>
      </w:r>
      <w:r w:rsidR="00A364AB">
        <w:rPr>
          <w:rFonts w:ascii="Arial" w:hAnsi="Arial" w:cs="Arial"/>
          <w:sz w:val="24"/>
          <w:szCs w:val="24"/>
        </w:rPr>
        <w:t>based</w:t>
      </w:r>
      <w:r w:rsidR="00A364AB" w:rsidRPr="00661DCC">
        <w:rPr>
          <w:rFonts w:ascii="Arial" w:hAnsi="Arial" w:cs="Arial"/>
          <w:sz w:val="24"/>
          <w:szCs w:val="24"/>
        </w:rPr>
        <w:t xml:space="preserve"> </w:t>
      </w:r>
      <w:r w:rsidRPr="00661DCC">
        <w:rPr>
          <w:rFonts w:ascii="Arial" w:hAnsi="Arial" w:cs="Arial"/>
          <w:sz w:val="24"/>
          <w:szCs w:val="24"/>
        </w:rPr>
        <w:t xml:space="preserve">on the </w:t>
      </w:r>
      <w:r w:rsidR="00A364AB" w:rsidRPr="00661DCC">
        <w:rPr>
          <w:rFonts w:ascii="Arial" w:hAnsi="Arial" w:cs="Arial"/>
          <w:sz w:val="24"/>
          <w:szCs w:val="24"/>
        </w:rPr>
        <w:t xml:space="preserve">understanding that </w:t>
      </w:r>
      <w:r w:rsidR="00A364AB">
        <w:rPr>
          <w:rFonts w:ascii="Arial" w:hAnsi="Arial" w:cs="Arial"/>
          <w:sz w:val="24"/>
          <w:szCs w:val="24"/>
        </w:rPr>
        <w:t>while</w:t>
      </w:r>
      <w:r w:rsidR="00A364AB" w:rsidRPr="00661DCC">
        <w:rPr>
          <w:rFonts w:ascii="Arial" w:hAnsi="Arial" w:cs="Arial"/>
          <w:sz w:val="24"/>
          <w:szCs w:val="24"/>
        </w:rPr>
        <w:t xml:space="preserve"> the timing of resources coming into the model will be behind expenditure on schemes,</w:t>
      </w:r>
      <w:r w:rsidR="00A364AB">
        <w:rPr>
          <w:rFonts w:ascii="Arial" w:hAnsi="Arial" w:cs="Arial"/>
          <w:sz w:val="24"/>
          <w:szCs w:val="24"/>
        </w:rPr>
        <w:t xml:space="preserve"> requiring </w:t>
      </w:r>
      <w:r w:rsidR="00A364AB" w:rsidRPr="00661DCC">
        <w:rPr>
          <w:rFonts w:ascii="Arial" w:hAnsi="Arial" w:cs="Arial"/>
          <w:sz w:val="24"/>
          <w:szCs w:val="24"/>
        </w:rPr>
        <w:t>cash flow</w:t>
      </w:r>
      <w:r w:rsidR="00A364AB">
        <w:rPr>
          <w:rFonts w:ascii="Arial" w:hAnsi="Arial" w:cs="Arial"/>
          <w:sz w:val="24"/>
          <w:szCs w:val="24"/>
        </w:rPr>
        <w:t xml:space="preserve"> support from the County Council, </w:t>
      </w:r>
      <w:r w:rsidR="00A364AB" w:rsidRPr="00661DCC">
        <w:rPr>
          <w:rFonts w:ascii="Arial" w:hAnsi="Arial" w:cs="Arial"/>
          <w:sz w:val="24"/>
          <w:szCs w:val="24"/>
        </w:rPr>
        <w:t xml:space="preserve">there </w:t>
      </w:r>
      <w:r w:rsidR="00A364AB">
        <w:rPr>
          <w:rFonts w:ascii="Arial" w:hAnsi="Arial" w:cs="Arial"/>
          <w:sz w:val="24"/>
          <w:szCs w:val="24"/>
        </w:rPr>
        <w:t>is</w:t>
      </w:r>
      <w:r w:rsidR="00A364AB" w:rsidRPr="00661DCC">
        <w:rPr>
          <w:rFonts w:ascii="Arial" w:hAnsi="Arial" w:cs="Arial"/>
          <w:sz w:val="24"/>
          <w:szCs w:val="24"/>
        </w:rPr>
        <w:t xml:space="preserve"> </w:t>
      </w:r>
      <w:r w:rsidR="00A364AB">
        <w:rPr>
          <w:rFonts w:ascii="Arial" w:hAnsi="Arial" w:cs="Arial"/>
          <w:sz w:val="24"/>
          <w:szCs w:val="24"/>
        </w:rPr>
        <w:t>a</w:t>
      </w:r>
      <w:r w:rsidR="00A364AB" w:rsidRPr="00661DCC">
        <w:rPr>
          <w:rFonts w:ascii="Arial" w:hAnsi="Arial" w:cs="Arial"/>
          <w:sz w:val="24"/>
          <w:szCs w:val="24"/>
        </w:rPr>
        <w:t xml:space="preserve"> commitment of the partners to keep the model balanced.  </w:t>
      </w:r>
    </w:p>
    <w:p w:rsidR="00A364AB" w:rsidRPr="00661DCC" w:rsidRDefault="00A364AB" w:rsidP="00A364AB">
      <w:pPr>
        <w:spacing w:after="0" w:line="240" w:lineRule="auto"/>
        <w:jc w:val="both"/>
        <w:rPr>
          <w:rFonts w:ascii="Arial" w:hAnsi="Arial" w:cs="Arial"/>
          <w:sz w:val="24"/>
          <w:szCs w:val="24"/>
        </w:rPr>
      </w:pPr>
    </w:p>
    <w:p w:rsidR="00584DB6" w:rsidRDefault="00A364AB" w:rsidP="00A364AB">
      <w:pPr>
        <w:spacing w:after="0" w:line="240" w:lineRule="auto"/>
        <w:jc w:val="both"/>
        <w:rPr>
          <w:rFonts w:ascii="Arial" w:hAnsi="Arial" w:cs="Arial"/>
          <w:sz w:val="24"/>
          <w:szCs w:val="24"/>
        </w:rPr>
      </w:pPr>
      <w:r>
        <w:rPr>
          <w:rFonts w:ascii="Arial" w:hAnsi="Arial" w:cs="Arial"/>
          <w:sz w:val="24"/>
          <w:szCs w:val="24"/>
        </w:rPr>
        <w:t>It is recognised</w:t>
      </w:r>
      <w:r w:rsidRPr="00661DCC">
        <w:rPr>
          <w:rFonts w:ascii="Arial" w:hAnsi="Arial" w:cs="Arial"/>
          <w:sz w:val="24"/>
          <w:szCs w:val="24"/>
        </w:rPr>
        <w:t xml:space="preserve"> that the model is dynamic and </w:t>
      </w:r>
      <w:r>
        <w:rPr>
          <w:rFonts w:ascii="Arial" w:hAnsi="Arial" w:cs="Arial"/>
          <w:sz w:val="24"/>
          <w:szCs w:val="24"/>
        </w:rPr>
        <w:t xml:space="preserve">that changes to the inputs and outputs of the model will occur over time. This is sustainable subject to </w:t>
      </w:r>
      <w:r w:rsidRPr="00661DCC">
        <w:rPr>
          <w:rFonts w:ascii="Arial" w:hAnsi="Arial" w:cs="Arial"/>
          <w:sz w:val="24"/>
          <w:szCs w:val="24"/>
        </w:rPr>
        <w:t>maximum cash flow approvals being in place</w:t>
      </w:r>
      <w:r>
        <w:rPr>
          <w:rFonts w:ascii="Arial" w:hAnsi="Arial" w:cs="Arial"/>
          <w:sz w:val="24"/>
          <w:szCs w:val="24"/>
        </w:rPr>
        <w:t xml:space="preserve"> and</w:t>
      </w:r>
      <w:r>
        <w:rPr>
          <w:rFonts w:ascii="Arial" w:hAnsi="Arial" w:cs="Arial"/>
          <w:sz w:val="24"/>
          <w:szCs w:val="24"/>
        </w:rPr>
        <w:t xml:space="preserve"> not breached. </w:t>
      </w:r>
      <w:r w:rsidRPr="00661DCC">
        <w:rPr>
          <w:rFonts w:ascii="Arial" w:hAnsi="Arial" w:cs="Arial"/>
          <w:sz w:val="24"/>
          <w:szCs w:val="24"/>
        </w:rPr>
        <w:t xml:space="preserve"> </w:t>
      </w:r>
    </w:p>
    <w:p w:rsidR="00A364AB" w:rsidRPr="00661DCC" w:rsidRDefault="00A364AB" w:rsidP="00A364AB">
      <w:pPr>
        <w:spacing w:after="0" w:line="240" w:lineRule="auto"/>
        <w:jc w:val="both"/>
        <w:rPr>
          <w:rFonts w:ascii="Arial" w:hAnsi="Arial" w:cs="Arial"/>
          <w:sz w:val="24"/>
          <w:szCs w:val="24"/>
        </w:rPr>
      </w:pPr>
    </w:p>
    <w:p w:rsidR="00584DB6" w:rsidRDefault="00A364AB" w:rsidP="00A364AB">
      <w:pPr>
        <w:spacing w:after="0" w:line="240" w:lineRule="auto"/>
        <w:rPr>
          <w:rFonts w:ascii="Arial" w:hAnsi="Arial" w:cs="Arial"/>
          <w:b/>
          <w:sz w:val="24"/>
          <w:szCs w:val="24"/>
        </w:rPr>
      </w:pPr>
      <w:r w:rsidRPr="00661DCC">
        <w:rPr>
          <w:rFonts w:ascii="Arial" w:hAnsi="Arial" w:cs="Arial"/>
          <w:b/>
          <w:sz w:val="24"/>
          <w:szCs w:val="24"/>
        </w:rPr>
        <w:t>Position of the model as at 31</w:t>
      </w:r>
      <w:r w:rsidRPr="00661DCC">
        <w:rPr>
          <w:rFonts w:ascii="Arial" w:hAnsi="Arial" w:cs="Arial"/>
          <w:b/>
          <w:sz w:val="24"/>
          <w:szCs w:val="24"/>
          <w:vertAlign w:val="superscript"/>
        </w:rPr>
        <w:t>st</w:t>
      </w:r>
      <w:r w:rsidRPr="00661DCC">
        <w:rPr>
          <w:rFonts w:ascii="Arial" w:hAnsi="Arial" w:cs="Arial"/>
          <w:b/>
          <w:sz w:val="24"/>
          <w:szCs w:val="24"/>
        </w:rPr>
        <w:t xml:space="preserve"> March 2016</w:t>
      </w:r>
    </w:p>
    <w:p w:rsidR="00A364AB" w:rsidRPr="00661DCC" w:rsidRDefault="00A364AB" w:rsidP="00A364AB">
      <w:pPr>
        <w:spacing w:after="0" w:line="240" w:lineRule="auto"/>
        <w:rPr>
          <w:rFonts w:ascii="Arial" w:hAnsi="Arial" w:cs="Arial"/>
          <w:b/>
          <w:sz w:val="24"/>
          <w:szCs w:val="24"/>
        </w:rPr>
      </w:pPr>
    </w:p>
    <w:p w:rsidR="00584DB6" w:rsidRPr="00661DCC" w:rsidRDefault="00A364AB" w:rsidP="00A364AB">
      <w:pPr>
        <w:spacing w:after="0" w:line="240" w:lineRule="auto"/>
        <w:jc w:val="both"/>
        <w:rPr>
          <w:rFonts w:ascii="Arial" w:hAnsi="Arial" w:cs="Arial"/>
          <w:sz w:val="24"/>
          <w:szCs w:val="24"/>
        </w:rPr>
      </w:pPr>
      <w:r w:rsidRPr="00661DCC">
        <w:rPr>
          <w:rFonts w:ascii="Arial" w:hAnsi="Arial" w:cs="Arial"/>
          <w:sz w:val="24"/>
          <w:szCs w:val="24"/>
        </w:rPr>
        <w:t xml:space="preserve">The monitoring report for </w:t>
      </w:r>
      <w:r>
        <w:rPr>
          <w:rFonts w:ascii="Arial" w:hAnsi="Arial" w:cs="Arial"/>
          <w:sz w:val="24"/>
          <w:szCs w:val="24"/>
        </w:rPr>
        <w:t>quarter</w:t>
      </w:r>
      <w:r w:rsidRPr="00661DCC">
        <w:rPr>
          <w:rFonts w:ascii="Arial" w:hAnsi="Arial" w:cs="Arial"/>
          <w:sz w:val="24"/>
          <w:szCs w:val="24"/>
        </w:rPr>
        <w:t xml:space="preserve"> 4 </w:t>
      </w:r>
      <w:r>
        <w:rPr>
          <w:rFonts w:ascii="Arial" w:hAnsi="Arial" w:cs="Arial"/>
          <w:sz w:val="24"/>
          <w:szCs w:val="24"/>
        </w:rPr>
        <w:t xml:space="preserve">&amp; 2015-16 to date </w:t>
      </w:r>
      <w:r w:rsidRPr="00661DCC">
        <w:rPr>
          <w:rFonts w:ascii="Arial" w:hAnsi="Arial" w:cs="Arial"/>
          <w:sz w:val="24"/>
          <w:szCs w:val="24"/>
        </w:rPr>
        <w:t>is appended to this</w:t>
      </w:r>
      <w:r>
        <w:rPr>
          <w:rFonts w:ascii="Arial" w:hAnsi="Arial" w:cs="Arial"/>
          <w:sz w:val="24"/>
          <w:szCs w:val="24"/>
        </w:rPr>
        <w:t xml:space="preserve">.  </w:t>
      </w:r>
    </w:p>
    <w:p w:rsidR="00A364AB" w:rsidRDefault="00A364AB" w:rsidP="00A364AB">
      <w:pPr>
        <w:spacing w:after="0" w:line="240" w:lineRule="auto"/>
        <w:jc w:val="both"/>
        <w:rPr>
          <w:rFonts w:ascii="Arial" w:hAnsi="Arial" w:cs="Arial"/>
          <w:sz w:val="24"/>
          <w:szCs w:val="24"/>
        </w:rPr>
      </w:pPr>
    </w:p>
    <w:p w:rsidR="00A364AB" w:rsidRDefault="00A364AB" w:rsidP="00A364AB">
      <w:pPr>
        <w:spacing w:after="0" w:line="240" w:lineRule="auto"/>
        <w:jc w:val="both"/>
        <w:rPr>
          <w:rFonts w:ascii="Arial" w:hAnsi="Arial" w:cs="Arial"/>
          <w:sz w:val="24"/>
          <w:szCs w:val="24"/>
        </w:rPr>
      </w:pPr>
      <w:r w:rsidRPr="00661DCC">
        <w:rPr>
          <w:rFonts w:ascii="Arial" w:hAnsi="Arial" w:cs="Arial"/>
          <w:sz w:val="24"/>
          <w:szCs w:val="24"/>
        </w:rPr>
        <w:t>The model is currently showing a projected surplus over the city deal period of £1.408m compared to a position as repo</w:t>
      </w:r>
      <w:r w:rsidRPr="00661DCC">
        <w:rPr>
          <w:rFonts w:ascii="Arial" w:hAnsi="Arial" w:cs="Arial"/>
          <w:sz w:val="24"/>
          <w:szCs w:val="24"/>
        </w:rPr>
        <w:t xml:space="preserve">rted in </w:t>
      </w:r>
      <w:r>
        <w:rPr>
          <w:rFonts w:ascii="Arial" w:hAnsi="Arial" w:cs="Arial"/>
          <w:sz w:val="24"/>
          <w:szCs w:val="24"/>
        </w:rPr>
        <w:t xml:space="preserve">the 2015-18 IDP of a deficit of </w:t>
      </w:r>
      <w:r w:rsidRPr="00661DCC">
        <w:rPr>
          <w:rFonts w:ascii="Arial" w:hAnsi="Arial" w:cs="Arial"/>
          <w:sz w:val="24"/>
          <w:szCs w:val="24"/>
        </w:rPr>
        <w:t>£6.357</w:t>
      </w:r>
      <w:r>
        <w:rPr>
          <w:rFonts w:ascii="Arial" w:hAnsi="Arial" w:cs="Arial"/>
          <w:sz w:val="24"/>
          <w:szCs w:val="24"/>
        </w:rPr>
        <w:t>m.</w:t>
      </w:r>
    </w:p>
    <w:p w:rsidR="00A364AB" w:rsidRDefault="00A364AB" w:rsidP="00A364AB">
      <w:pPr>
        <w:spacing w:after="0" w:line="240" w:lineRule="auto"/>
        <w:jc w:val="both"/>
        <w:rPr>
          <w:rFonts w:ascii="Arial" w:hAnsi="Arial" w:cs="Arial"/>
          <w:sz w:val="24"/>
          <w:szCs w:val="24"/>
        </w:rPr>
      </w:pPr>
    </w:p>
    <w:p w:rsidR="00A364AB" w:rsidRDefault="00A364AB" w:rsidP="00A364AB">
      <w:pPr>
        <w:spacing w:after="0" w:line="240" w:lineRule="auto"/>
        <w:jc w:val="both"/>
        <w:rPr>
          <w:rFonts w:ascii="Arial" w:hAnsi="Arial" w:cs="Arial"/>
          <w:sz w:val="24"/>
          <w:szCs w:val="24"/>
        </w:rPr>
      </w:pPr>
    </w:p>
    <w:p w:rsidR="00A364AB" w:rsidRDefault="00A364AB" w:rsidP="00A364AB">
      <w:pPr>
        <w:spacing w:after="0" w:line="240" w:lineRule="auto"/>
        <w:jc w:val="both"/>
        <w:rPr>
          <w:rFonts w:ascii="Arial" w:hAnsi="Arial" w:cs="Arial"/>
          <w:sz w:val="24"/>
          <w:szCs w:val="24"/>
        </w:rPr>
      </w:pPr>
    </w:p>
    <w:p w:rsidR="00A364AB" w:rsidRDefault="00A364AB" w:rsidP="00A364AB">
      <w:pPr>
        <w:spacing w:after="0" w:line="240" w:lineRule="auto"/>
        <w:jc w:val="both"/>
        <w:rPr>
          <w:rFonts w:ascii="Arial" w:hAnsi="Arial" w:cs="Arial"/>
          <w:sz w:val="24"/>
          <w:szCs w:val="24"/>
        </w:rPr>
      </w:pPr>
    </w:p>
    <w:p w:rsidR="00A364AB" w:rsidRDefault="00A364AB" w:rsidP="00A364AB">
      <w:pPr>
        <w:spacing w:after="0" w:line="240" w:lineRule="auto"/>
        <w:jc w:val="both"/>
        <w:rPr>
          <w:rFonts w:ascii="Arial" w:hAnsi="Arial" w:cs="Arial"/>
          <w:sz w:val="24"/>
          <w:szCs w:val="24"/>
        </w:rPr>
      </w:pPr>
    </w:p>
    <w:p w:rsidR="00A364AB" w:rsidRDefault="00A364AB" w:rsidP="00A364AB">
      <w:pPr>
        <w:spacing w:after="0" w:line="240" w:lineRule="auto"/>
        <w:jc w:val="both"/>
        <w:rPr>
          <w:rFonts w:ascii="Arial" w:hAnsi="Arial" w:cs="Arial"/>
          <w:sz w:val="24"/>
          <w:szCs w:val="24"/>
        </w:rPr>
      </w:pPr>
    </w:p>
    <w:p w:rsidR="00A364AB" w:rsidRDefault="00A364AB" w:rsidP="00A364AB">
      <w:pPr>
        <w:spacing w:after="0" w:line="240" w:lineRule="auto"/>
        <w:jc w:val="both"/>
        <w:rPr>
          <w:rFonts w:ascii="Arial" w:hAnsi="Arial" w:cs="Arial"/>
          <w:sz w:val="24"/>
          <w:szCs w:val="24"/>
        </w:rPr>
      </w:pPr>
    </w:p>
    <w:p w:rsidR="00A364AB" w:rsidRDefault="00A364AB" w:rsidP="00A364AB">
      <w:pPr>
        <w:spacing w:after="0" w:line="240" w:lineRule="auto"/>
        <w:jc w:val="both"/>
        <w:rPr>
          <w:rFonts w:ascii="Arial" w:hAnsi="Arial" w:cs="Arial"/>
          <w:sz w:val="24"/>
          <w:szCs w:val="24"/>
        </w:rPr>
      </w:pPr>
    </w:p>
    <w:p w:rsidR="00A364AB" w:rsidRDefault="00A364AB" w:rsidP="00A364AB">
      <w:pPr>
        <w:spacing w:after="0" w:line="240" w:lineRule="auto"/>
        <w:jc w:val="both"/>
        <w:rPr>
          <w:rFonts w:ascii="Arial" w:hAnsi="Arial" w:cs="Arial"/>
          <w:sz w:val="24"/>
          <w:szCs w:val="24"/>
        </w:rPr>
      </w:pPr>
    </w:p>
    <w:p w:rsidR="00A364AB" w:rsidRPr="00661DCC" w:rsidRDefault="00A364AB" w:rsidP="00A364AB">
      <w:pPr>
        <w:spacing w:after="0" w:line="240" w:lineRule="auto"/>
        <w:jc w:val="both"/>
        <w:rPr>
          <w:rFonts w:ascii="Arial" w:hAnsi="Arial" w:cs="Arial"/>
          <w:sz w:val="24"/>
          <w:szCs w:val="24"/>
        </w:rPr>
      </w:pPr>
    </w:p>
    <w:p w:rsidR="00584DB6" w:rsidRPr="00661DCC" w:rsidRDefault="00A364AB" w:rsidP="00A364AB">
      <w:pPr>
        <w:spacing w:after="0" w:line="240" w:lineRule="auto"/>
        <w:rPr>
          <w:rFonts w:ascii="Arial" w:hAnsi="Arial" w:cs="Arial"/>
          <w:sz w:val="24"/>
          <w:szCs w:val="24"/>
        </w:rPr>
      </w:pPr>
      <w:r w:rsidRPr="00661DCC">
        <w:rPr>
          <w:rFonts w:ascii="Arial" w:hAnsi="Arial" w:cs="Arial"/>
          <w:sz w:val="24"/>
          <w:szCs w:val="24"/>
        </w:rPr>
        <w:lastRenderedPageBreak/>
        <w:t xml:space="preserve">The key changes are detailed below </w:t>
      </w:r>
    </w:p>
    <w:tbl>
      <w:tblPr>
        <w:tblStyle w:val="TableGrid"/>
        <w:tblW w:w="0" w:type="auto"/>
        <w:tblLook w:val="04A0" w:firstRow="1" w:lastRow="0" w:firstColumn="1" w:lastColumn="0" w:noHBand="0" w:noVBand="1"/>
      </w:tblPr>
      <w:tblGrid>
        <w:gridCol w:w="6213"/>
        <w:gridCol w:w="1486"/>
        <w:gridCol w:w="1306"/>
      </w:tblGrid>
      <w:tr w:rsidR="00584DB6" w:rsidRPr="00661DCC">
        <w:trPr>
          <w:trHeight w:val="276"/>
        </w:trPr>
        <w:tc>
          <w:tcPr>
            <w:tcW w:w="7366" w:type="dxa"/>
          </w:tcPr>
          <w:p w:rsidR="00584DB6" w:rsidRPr="00661DCC" w:rsidRDefault="00A364AB" w:rsidP="00A364AB">
            <w:pPr>
              <w:rPr>
                <w:rFonts w:ascii="Arial" w:hAnsi="Arial" w:cs="Arial"/>
                <w:b/>
                <w:sz w:val="24"/>
                <w:szCs w:val="24"/>
              </w:rPr>
            </w:pPr>
            <w:r w:rsidRPr="00661DCC">
              <w:rPr>
                <w:rFonts w:ascii="Arial" w:hAnsi="Arial" w:cs="Arial"/>
                <w:b/>
                <w:sz w:val="24"/>
                <w:szCs w:val="24"/>
              </w:rPr>
              <w:t>Additional Resources</w:t>
            </w:r>
          </w:p>
        </w:tc>
        <w:tc>
          <w:tcPr>
            <w:tcW w:w="1560" w:type="dxa"/>
          </w:tcPr>
          <w:p w:rsidR="00584DB6" w:rsidRPr="00661DCC" w:rsidRDefault="00A364AB" w:rsidP="00A364AB">
            <w:pPr>
              <w:rPr>
                <w:rFonts w:ascii="Arial" w:hAnsi="Arial" w:cs="Arial"/>
                <w:sz w:val="24"/>
                <w:szCs w:val="24"/>
              </w:rPr>
            </w:pPr>
            <w:r>
              <w:rPr>
                <w:rFonts w:ascii="Arial" w:hAnsi="Arial" w:cs="Arial"/>
                <w:sz w:val="24"/>
                <w:szCs w:val="24"/>
              </w:rPr>
              <w:t>£</w:t>
            </w:r>
          </w:p>
        </w:tc>
        <w:tc>
          <w:tcPr>
            <w:tcW w:w="1407" w:type="dxa"/>
          </w:tcPr>
          <w:p w:rsidR="00584DB6" w:rsidRPr="00661DCC" w:rsidRDefault="00A364AB" w:rsidP="00A364AB">
            <w:pPr>
              <w:rPr>
                <w:rFonts w:ascii="Arial" w:hAnsi="Arial" w:cs="Arial"/>
                <w:sz w:val="24"/>
                <w:szCs w:val="24"/>
              </w:rPr>
            </w:pPr>
            <w:r>
              <w:rPr>
                <w:rFonts w:ascii="Arial" w:hAnsi="Arial" w:cs="Arial"/>
                <w:sz w:val="24"/>
                <w:szCs w:val="24"/>
              </w:rPr>
              <w:t>£</w:t>
            </w:r>
          </w:p>
        </w:tc>
      </w:tr>
      <w:tr w:rsidR="00584DB6" w:rsidRPr="00661DCC">
        <w:trPr>
          <w:trHeight w:val="276"/>
        </w:trPr>
        <w:tc>
          <w:tcPr>
            <w:tcW w:w="7366" w:type="dxa"/>
          </w:tcPr>
          <w:p w:rsidR="00584DB6" w:rsidRPr="00661DCC" w:rsidRDefault="00A364AB" w:rsidP="00A364AB">
            <w:pPr>
              <w:pStyle w:val="ListParagraph"/>
              <w:numPr>
                <w:ilvl w:val="0"/>
                <w:numId w:val="2"/>
              </w:numPr>
              <w:rPr>
                <w:rFonts w:ascii="Arial" w:hAnsi="Arial" w:cs="Arial"/>
                <w:sz w:val="24"/>
                <w:szCs w:val="24"/>
              </w:rPr>
            </w:pPr>
            <w:r w:rsidRPr="00661DCC">
              <w:rPr>
                <w:rFonts w:ascii="Arial" w:hAnsi="Arial" w:cs="Arial"/>
                <w:sz w:val="24"/>
                <w:szCs w:val="24"/>
              </w:rPr>
              <w:t xml:space="preserve">Addition to the model of the LCC reserves committed to meet Preston bus station funding gap  (July 15 cabinet report) </w:t>
            </w:r>
          </w:p>
        </w:tc>
        <w:tc>
          <w:tcPr>
            <w:tcW w:w="1560" w:type="dxa"/>
          </w:tcPr>
          <w:p w:rsidR="00584DB6" w:rsidRPr="00661DCC" w:rsidRDefault="00A364AB" w:rsidP="00A364AB">
            <w:pPr>
              <w:rPr>
                <w:rFonts w:ascii="Arial" w:hAnsi="Arial" w:cs="Arial"/>
                <w:sz w:val="24"/>
                <w:szCs w:val="24"/>
              </w:rPr>
            </w:pPr>
            <w:r w:rsidRPr="00661DCC">
              <w:rPr>
                <w:rFonts w:ascii="Arial" w:hAnsi="Arial" w:cs="Arial"/>
                <w:sz w:val="24"/>
                <w:szCs w:val="24"/>
              </w:rPr>
              <w:t>£ 7.00m</w:t>
            </w:r>
          </w:p>
        </w:tc>
        <w:tc>
          <w:tcPr>
            <w:tcW w:w="1407" w:type="dxa"/>
          </w:tcPr>
          <w:p w:rsidR="00584DB6" w:rsidRPr="00661DCC" w:rsidRDefault="00A364AB" w:rsidP="00A364AB">
            <w:pPr>
              <w:rPr>
                <w:rFonts w:ascii="Arial" w:hAnsi="Arial" w:cs="Arial"/>
                <w:sz w:val="24"/>
                <w:szCs w:val="24"/>
              </w:rPr>
            </w:pPr>
          </w:p>
        </w:tc>
      </w:tr>
      <w:tr w:rsidR="00584DB6" w:rsidRPr="00661DCC">
        <w:trPr>
          <w:trHeight w:val="290"/>
        </w:trPr>
        <w:tc>
          <w:tcPr>
            <w:tcW w:w="7366" w:type="dxa"/>
          </w:tcPr>
          <w:p w:rsidR="00584DB6" w:rsidRPr="00661DCC" w:rsidRDefault="00A364AB" w:rsidP="00A364AB">
            <w:pPr>
              <w:pStyle w:val="ListParagraph"/>
              <w:numPr>
                <w:ilvl w:val="0"/>
                <w:numId w:val="2"/>
              </w:numPr>
              <w:rPr>
                <w:rFonts w:ascii="Arial" w:hAnsi="Arial" w:cs="Arial"/>
                <w:sz w:val="24"/>
                <w:szCs w:val="24"/>
              </w:rPr>
            </w:pPr>
            <w:r w:rsidRPr="00661DCC">
              <w:rPr>
                <w:rFonts w:ascii="Arial" w:hAnsi="Arial" w:cs="Arial"/>
                <w:sz w:val="24"/>
                <w:szCs w:val="24"/>
              </w:rPr>
              <w:t xml:space="preserve">Increase in CIL contributions being forecasted from the additional 2000 houses ( previous models assumed no cil contributions as could be on small sites ) </w:t>
            </w:r>
          </w:p>
        </w:tc>
        <w:tc>
          <w:tcPr>
            <w:tcW w:w="1560" w:type="dxa"/>
          </w:tcPr>
          <w:p w:rsidR="00584DB6" w:rsidRPr="00661DCC" w:rsidRDefault="00A364AB" w:rsidP="00A364AB">
            <w:pPr>
              <w:rPr>
                <w:rFonts w:ascii="Arial" w:hAnsi="Arial" w:cs="Arial"/>
                <w:sz w:val="24"/>
                <w:szCs w:val="24"/>
              </w:rPr>
            </w:pPr>
            <w:r w:rsidRPr="00661DCC">
              <w:rPr>
                <w:rFonts w:ascii="Arial" w:hAnsi="Arial" w:cs="Arial"/>
                <w:sz w:val="24"/>
                <w:szCs w:val="24"/>
              </w:rPr>
              <w:t>£ 8.039m</w:t>
            </w:r>
          </w:p>
        </w:tc>
        <w:tc>
          <w:tcPr>
            <w:tcW w:w="1407" w:type="dxa"/>
          </w:tcPr>
          <w:p w:rsidR="00584DB6" w:rsidRPr="00661DCC" w:rsidRDefault="00A364AB" w:rsidP="00A364AB">
            <w:pPr>
              <w:rPr>
                <w:rFonts w:ascii="Arial" w:hAnsi="Arial" w:cs="Arial"/>
                <w:sz w:val="24"/>
                <w:szCs w:val="24"/>
              </w:rPr>
            </w:pPr>
          </w:p>
        </w:tc>
      </w:tr>
      <w:tr w:rsidR="00584DB6" w:rsidRPr="00661DCC">
        <w:trPr>
          <w:trHeight w:val="276"/>
        </w:trPr>
        <w:tc>
          <w:tcPr>
            <w:tcW w:w="7366" w:type="dxa"/>
          </w:tcPr>
          <w:p w:rsidR="00584DB6" w:rsidRDefault="00A364AB" w:rsidP="00A364AB">
            <w:pPr>
              <w:pStyle w:val="ListParagraph"/>
              <w:numPr>
                <w:ilvl w:val="0"/>
                <w:numId w:val="2"/>
              </w:numPr>
              <w:rPr>
                <w:rFonts w:ascii="Arial" w:hAnsi="Arial" w:cs="Arial"/>
                <w:sz w:val="24"/>
                <w:szCs w:val="24"/>
              </w:rPr>
            </w:pPr>
            <w:r w:rsidRPr="00661DCC">
              <w:rPr>
                <w:rFonts w:ascii="Arial" w:hAnsi="Arial" w:cs="Arial"/>
                <w:sz w:val="24"/>
                <w:szCs w:val="24"/>
              </w:rPr>
              <w:t xml:space="preserve">Other miscellaneous changes in funding </w:t>
            </w:r>
            <w:r>
              <w:rPr>
                <w:rFonts w:ascii="Arial" w:hAnsi="Arial" w:cs="Arial"/>
                <w:sz w:val="24"/>
                <w:szCs w:val="24"/>
              </w:rPr>
              <w:t xml:space="preserve"> - (</w:t>
            </w:r>
            <w:r w:rsidRPr="00584DB6">
              <w:rPr>
                <w:rFonts w:ascii="Arial" w:hAnsi="Arial" w:cs="Arial"/>
                <w:sz w:val="24"/>
                <w:szCs w:val="24"/>
              </w:rPr>
              <w:t xml:space="preserve">changes over year in cil and s106 agreed, </w:t>
            </w:r>
            <w:r w:rsidRPr="00584DB6">
              <w:rPr>
                <w:rFonts w:ascii="Arial" w:hAnsi="Arial" w:cs="Arial"/>
                <w:sz w:val="24"/>
                <w:szCs w:val="24"/>
              </w:rPr>
              <w:t>changes in HCA interest due to timing of grants expected</w:t>
            </w:r>
            <w:r w:rsidRPr="00584DB6">
              <w:rPr>
                <w:rFonts w:ascii="Arial" w:hAnsi="Arial" w:cs="Arial"/>
                <w:sz w:val="24"/>
                <w:szCs w:val="24"/>
              </w:rPr>
              <w:t>)</w:t>
            </w:r>
          </w:p>
        </w:tc>
        <w:tc>
          <w:tcPr>
            <w:tcW w:w="1560" w:type="dxa"/>
          </w:tcPr>
          <w:p w:rsidR="00584DB6" w:rsidRPr="00661DCC" w:rsidRDefault="00A364AB" w:rsidP="00A364AB">
            <w:pPr>
              <w:rPr>
                <w:rFonts w:ascii="Arial" w:hAnsi="Arial" w:cs="Arial"/>
                <w:sz w:val="24"/>
                <w:szCs w:val="24"/>
              </w:rPr>
            </w:pPr>
            <w:r w:rsidRPr="00661DCC">
              <w:rPr>
                <w:rFonts w:ascii="Arial" w:hAnsi="Arial" w:cs="Arial"/>
                <w:sz w:val="24"/>
                <w:szCs w:val="24"/>
              </w:rPr>
              <w:t>£ 0.088m</w:t>
            </w:r>
          </w:p>
        </w:tc>
        <w:tc>
          <w:tcPr>
            <w:tcW w:w="1407" w:type="dxa"/>
          </w:tcPr>
          <w:p w:rsidR="00584DB6" w:rsidRPr="00661DCC" w:rsidRDefault="00A364AB" w:rsidP="00A364AB">
            <w:pPr>
              <w:rPr>
                <w:rFonts w:ascii="Arial" w:hAnsi="Arial" w:cs="Arial"/>
                <w:sz w:val="24"/>
                <w:szCs w:val="24"/>
              </w:rPr>
            </w:pPr>
          </w:p>
        </w:tc>
      </w:tr>
      <w:tr w:rsidR="00584DB6" w:rsidRPr="00661DCC">
        <w:trPr>
          <w:trHeight w:val="276"/>
        </w:trPr>
        <w:tc>
          <w:tcPr>
            <w:tcW w:w="7366" w:type="dxa"/>
          </w:tcPr>
          <w:p w:rsidR="00584DB6" w:rsidRPr="00661DCC" w:rsidRDefault="00A364AB" w:rsidP="00A364AB">
            <w:pPr>
              <w:rPr>
                <w:rFonts w:ascii="Arial" w:hAnsi="Arial" w:cs="Arial"/>
                <w:sz w:val="24"/>
                <w:szCs w:val="24"/>
              </w:rPr>
            </w:pPr>
          </w:p>
        </w:tc>
        <w:tc>
          <w:tcPr>
            <w:tcW w:w="1560" w:type="dxa"/>
          </w:tcPr>
          <w:p w:rsidR="00584DB6" w:rsidRPr="00661DCC" w:rsidRDefault="00A364AB" w:rsidP="00A364AB">
            <w:pPr>
              <w:rPr>
                <w:rFonts w:ascii="Arial" w:hAnsi="Arial" w:cs="Arial"/>
                <w:sz w:val="24"/>
                <w:szCs w:val="24"/>
              </w:rPr>
            </w:pPr>
          </w:p>
        </w:tc>
        <w:tc>
          <w:tcPr>
            <w:tcW w:w="1407" w:type="dxa"/>
          </w:tcPr>
          <w:p w:rsidR="00584DB6" w:rsidRPr="00661DCC" w:rsidRDefault="00A364AB" w:rsidP="00A364AB">
            <w:pPr>
              <w:rPr>
                <w:rFonts w:ascii="Arial" w:hAnsi="Arial" w:cs="Arial"/>
                <w:sz w:val="24"/>
                <w:szCs w:val="24"/>
              </w:rPr>
            </w:pPr>
          </w:p>
        </w:tc>
      </w:tr>
      <w:tr w:rsidR="00584DB6" w:rsidRPr="00661DCC">
        <w:trPr>
          <w:trHeight w:val="276"/>
        </w:trPr>
        <w:tc>
          <w:tcPr>
            <w:tcW w:w="7366" w:type="dxa"/>
          </w:tcPr>
          <w:p w:rsidR="00584DB6" w:rsidRPr="00661DCC" w:rsidRDefault="00A364AB" w:rsidP="00A364AB">
            <w:pPr>
              <w:rPr>
                <w:rFonts w:ascii="Arial" w:hAnsi="Arial" w:cs="Arial"/>
                <w:b/>
                <w:sz w:val="24"/>
                <w:szCs w:val="24"/>
              </w:rPr>
            </w:pPr>
            <w:r w:rsidRPr="00661DCC">
              <w:rPr>
                <w:rFonts w:ascii="Arial" w:hAnsi="Arial" w:cs="Arial"/>
                <w:b/>
                <w:sz w:val="24"/>
                <w:szCs w:val="24"/>
              </w:rPr>
              <w:t xml:space="preserve">Reduction in resources </w:t>
            </w:r>
          </w:p>
        </w:tc>
        <w:tc>
          <w:tcPr>
            <w:tcW w:w="1560" w:type="dxa"/>
          </w:tcPr>
          <w:p w:rsidR="00584DB6" w:rsidRPr="00661DCC" w:rsidRDefault="00A364AB" w:rsidP="00A364AB">
            <w:pPr>
              <w:rPr>
                <w:rFonts w:ascii="Arial" w:hAnsi="Arial" w:cs="Arial"/>
                <w:b/>
                <w:sz w:val="24"/>
                <w:szCs w:val="24"/>
              </w:rPr>
            </w:pPr>
          </w:p>
        </w:tc>
        <w:tc>
          <w:tcPr>
            <w:tcW w:w="1407" w:type="dxa"/>
          </w:tcPr>
          <w:p w:rsidR="00584DB6" w:rsidRPr="00661DCC" w:rsidRDefault="00A364AB" w:rsidP="00A364AB">
            <w:pPr>
              <w:rPr>
                <w:rFonts w:ascii="Arial" w:hAnsi="Arial" w:cs="Arial"/>
                <w:b/>
                <w:sz w:val="24"/>
                <w:szCs w:val="24"/>
              </w:rPr>
            </w:pPr>
          </w:p>
        </w:tc>
      </w:tr>
      <w:tr w:rsidR="00584DB6" w:rsidRPr="00661DCC">
        <w:trPr>
          <w:trHeight w:val="276"/>
        </w:trPr>
        <w:tc>
          <w:tcPr>
            <w:tcW w:w="7366" w:type="dxa"/>
          </w:tcPr>
          <w:p w:rsidR="00584DB6" w:rsidRPr="00661DCC" w:rsidRDefault="00A364AB" w:rsidP="00A364AB">
            <w:pPr>
              <w:pStyle w:val="ListParagraph"/>
              <w:numPr>
                <w:ilvl w:val="0"/>
                <w:numId w:val="2"/>
              </w:numPr>
              <w:rPr>
                <w:rFonts w:ascii="Arial" w:hAnsi="Arial" w:cs="Arial"/>
                <w:sz w:val="24"/>
                <w:szCs w:val="24"/>
              </w:rPr>
            </w:pPr>
            <w:r w:rsidRPr="00661DCC">
              <w:rPr>
                <w:rFonts w:ascii="Arial" w:hAnsi="Arial" w:cs="Arial"/>
                <w:sz w:val="24"/>
                <w:szCs w:val="24"/>
              </w:rPr>
              <w:t xml:space="preserve">Change in commitment </w:t>
            </w:r>
            <w:r>
              <w:rPr>
                <w:rFonts w:ascii="Arial" w:hAnsi="Arial" w:cs="Arial"/>
                <w:sz w:val="24"/>
                <w:szCs w:val="24"/>
              </w:rPr>
              <w:t>f</w:t>
            </w:r>
            <w:r w:rsidRPr="00661DCC">
              <w:rPr>
                <w:rFonts w:ascii="Arial" w:hAnsi="Arial" w:cs="Arial"/>
                <w:sz w:val="24"/>
                <w:szCs w:val="24"/>
              </w:rPr>
              <w:t xml:space="preserve">rom </w:t>
            </w:r>
            <w:r>
              <w:rPr>
                <w:rFonts w:ascii="Arial" w:hAnsi="Arial" w:cs="Arial"/>
                <w:sz w:val="24"/>
                <w:szCs w:val="24"/>
              </w:rPr>
              <w:t>H</w:t>
            </w:r>
            <w:r w:rsidRPr="00661DCC">
              <w:rPr>
                <w:rFonts w:ascii="Arial" w:hAnsi="Arial" w:cs="Arial"/>
                <w:sz w:val="24"/>
                <w:szCs w:val="24"/>
              </w:rPr>
              <w:t>ighways England towards M55 Junction 2</w:t>
            </w:r>
          </w:p>
        </w:tc>
        <w:tc>
          <w:tcPr>
            <w:tcW w:w="1560" w:type="dxa"/>
          </w:tcPr>
          <w:p w:rsidR="00584DB6" w:rsidRPr="00661DCC" w:rsidRDefault="00A364AB" w:rsidP="00A364AB">
            <w:pPr>
              <w:rPr>
                <w:rFonts w:ascii="Arial" w:hAnsi="Arial" w:cs="Arial"/>
                <w:sz w:val="24"/>
                <w:szCs w:val="24"/>
              </w:rPr>
            </w:pPr>
            <w:r w:rsidRPr="00661DCC">
              <w:rPr>
                <w:rFonts w:ascii="Arial" w:hAnsi="Arial" w:cs="Arial"/>
                <w:sz w:val="24"/>
                <w:szCs w:val="24"/>
              </w:rPr>
              <w:t>-£ 2.500m</w:t>
            </w:r>
          </w:p>
        </w:tc>
        <w:tc>
          <w:tcPr>
            <w:tcW w:w="1407" w:type="dxa"/>
          </w:tcPr>
          <w:p w:rsidR="00584DB6" w:rsidRPr="00661DCC" w:rsidRDefault="00A364AB" w:rsidP="00A364AB">
            <w:pPr>
              <w:rPr>
                <w:rFonts w:ascii="Arial" w:hAnsi="Arial" w:cs="Arial"/>
                <w:sz w:val="24"/>
                <w:szCs w:val="24"/>
              </w:rPr>
            </w:pPr>
          </w:p>
        </w:tc>
      </w:tr>
      <w:tr w:rsidR="00584DB6" w:rsidRPr="00661DCC">
        <w:trPr>
          <w:trHeight w:val="276"/>
        </w:trPr>
        <w:tc>
          <w:tcPr>
            <w:tcW w:w="7366" w:type="dxa"/>
          </w:tcPr>
          <w:p w:rsidR="00584DB6" w:rsidRPr="00661DCC" w:rsidRDefault="00A364AB" w:rsidP="00A364AB">
            <w:pPr>
              <w:rPr>
                <w:rFonts w:ascii="Arial" w:hAnsi="Arial" w:cs="Arial"/>
                <w:b/>
                <w:sz w:val="24"/>
                <w:szCs w:val="24"/>
              </w:rPr>
            </w:pPr>
            <w:r w:rsidRPr="00661DCC">
              <w:rPr>
                <w:rFonts w:ascii="Arial" w:hAnsi="Arial" w:cs="Arial"/>
                <w:b/>
                <w:sz w:val="24"/>
                <w:szCs w:val="24"/>
              </w:rPr>
              <w:t xml:space="preserve">Net changes to resources ( net additional ) </w:t>
            </w:r>
          </w:p>
        </w:tc>
        <w:tc>
          <w:tcPr>
            <w:tcW w:w="1560" w:type="dxa"/>
          </w:tcPr>
          <w:p w:rsidR="00584DB6" w:rsidRPr="00661DCC" w:rsidRDefault="00A364AB" w:rsidP="00A364AB">
            <w:pPr>
              <w:rPr>
                <w:rFonts w:ascii="Arial" w:hAnsi="Arial" w:cs="Arial"/>
                <w:b/>
                <w:sz w:val="24"/>
                <w:szCs w:val="24"/>
              </w:rPr>
            </w:pPr>
          </w:p>
        </w:tc>
        <w:tc>
          <w:tcPr>
            <w:tcW w:w="1407" w:type="dxa"/>
          </w:tcPr>
          <w:p w:rsidR="00584DB6" w:rsidRPr="00661DCC" w:rsidRDefault="00A364AB" w:rsidP="00A364AB">
            <w:pPr>
              <w:rPr>
                <w:rFonts w:ascii="Arial" w:hAnsi="Arial" w:cs="Arial"/>
                <w:b/>
                <w:sz w:val="24"/>
                <w:szCs w:val="24"/>
              </w:rPr>
            </w:pPr>
            <w:r w:rsidRPr="00661DCC">
              <w:rPr>
                <w:rFonts w:ascii="Arial" w:hAnsi="Arial" w:cs="Arial"/>
                <w:b/>
                <w:sz w:val="24"/>
                <w:szCs w:val="24"/>
              </w:rPr>
              <w:t>£ 12.627</w:t>
            </w:r>
          </w:p>
        </w:tc>
      </w:tr>
      <w:tr w:rsidR="00584DB6" w:rsidRPr="00661DCC">
        <w:trPr>
          <w:trHeight w:val="276"/>
        </w:trPr>
        <w:tc>
          <w:tcPr>
            <w:tcW w:w="7366" w:type="dxa"/>
          </w:tcPr>
          <w:p w:rsidR="00584DB6" w:rsidRPr="00661DCC" w:rsidRDefault="00A364AB" w:rsidP="00A364AB">
            <w:pPr>
              <w:rPr>
                <w:rFonts w:ascii="Arial" w:hAnsi="Arial" w:cs="Arial"/>
                <w:sz w:val="24"/>
                <w:szCs w:val="24"/>
              </w:rPr>
            </w:pPr>
          </w:p>
        </w:tc>
        <w:tc>
          <w:tcPr>
            <w:tcW w:w="1560" w:type="dxa"/>
          </w:tcPr>
          <w:p w:rsidR="00584DB6" w:rsidRPr="00661DCC" w:rsidRDefault="00A364AB" w:rsidP="00A364AB">
            <w:pPr>
              <w:rPr>
                <w:rFonts w:ascii="Arial" w:hAnsi="Arial" w:cs="Arial"/>
                <w:sz w:val="24"/>
                <w:szCs w:val="24"/>
              </w:rPr>
            </w:pPr>
          </w:p>
        </w:tc>
        <w:tc>
          <w:tcPr>
            <w:tcW w:w="1407" w:type="dxa"/>
          </w:tcPr>
          <w:p w:rsidR="00584DB6" w:rsidRPr="00661DCC" w:rsidRDefault="00A364AB" w:rsidP="00A364AB">
            <w:pPr>
              <w:rPr>
                <w:rFonts w:ascii="Arial" w:hAnsi="Arial" w:cs="Arial"/>
                <w:sz w:val="24"/>
                <w:szCs w:val="24"/>
              </w:rPr>
            </w:pPr>
          </w:p>
        </w:tc>
      </w:tr>
      <w:tr w:rsidR="00584DB6" w:rsidRPr="00661DCC">
        <w:trPr>
          <w:trHeight w:val="276"/>
        </w:trPr>
        <w:tc>
          <w:tcPr>
            <w:tcW w:w="7366" w:type="dxa"/>
          </w:tcPr>
          <w:p w:rsidR="00584DB6" w:rsidRPr="00661DCC" w:rsidRDefault="00A364AB" w:rsidP="00A364AB">
            <w:pPr>
              <w:rPr>
                <w:rFonts w:ascii="Arial" w:hAnsi="Arial" w:cs="Arial"/>
                <w:b/>
                <w:sz w:val="24"/>
                <w:szCs w:val="24"/>
              </w:rPr>
            </w:pPr>
            <w:r w:rsidRPr="00661DCC">
              <w:rPr>
                <w:rFonts w:ascii="Arial" w:hAnsi="Arial" w:cs="Arial"/>
                <w:b/>
                <w:sz w:val="24"/>
                <w:szCs w:val="24"/>
              </w:rPr>
              <w:t xml:space="preserve">Additional </w:t>
            </w:r>
            <w:r w:rsidRPr="00661DCC">
              <w:rPr>
                <w:rFonts w:ascii="Arial" w:hAnsi="Arial" w:cs="Arial"/>
                <w:b/>
                <w:sz w:val="24"/>
                <w:szCs w:val="24"/>
              </w:rPr>
              <w:t>Expenditure</w:t>
            </w:r>
          </w:p>
        </w:tc>
        <w:tc>
          <w:tcPr>
            <w:tcW w:w="1560" w:type="dxa"/>
          </w:tcPr>
          <w:p w:rsidR="00584DB6" w:rsidRPr="00661DCC" w:rsidRDefault="00A364AB" w:rsidP="00A364AB">
            <w:pPr>
              <w:rPr>
                <w:rFonts w:ascii="Arial" w:hAnsi="Arial" w:cs="Arial"/>
                <w:b/>
                <w:sz w:val="24"/>
                <w:szCs w:val="24"/>
              </w:rPr>
            </w:pPr>
          </w:p>
        </w:tc>
        <w:tc>
          <w:tcPr>
            <w:tcW w:w="1407" w:type="dxa"/>
          </w:tcPr>
          <w:p w:rsidR="00584DB6" w:rsidRPr="00661DCC" w:rsidRDefault="00A364AB" w:rsidP="00A364AB">
            <w:pPr>
              <w:rPr>
                <w:rFonts w:ascii="Arial" w:hAnsi="Arial" w:cs="Arial"/>
                <w:b/>
                <w:sz w:val="24"/>
                <w:szCs w:val="24"/>
              </w:rPr>
            </w:pPr>
          </w:p>
        </w:tc>
      </w:tr>
      <w:tr w:rsidR="00584DB6" w:rsidRPr="00661DCC">
        <w:trPr>
          <w:trHeight w:val="276"/>
        </w:trPr>
        <w:tc>
          <w:tcPr>
            <w:tcW w:w="7366" w:type="dxa"/>
          </w:tcPr>
          <w:p w:rsidR="00584DB6" w:rsidRPr="00661DCC" w:rsidRDefault="00A364AB" w:rsidP="00A364AB">
            <w:pPr>
              <w:pStyle w:val="ListParagraph"/>
              <w:numPr>
                <w:ilvl w:val="0"/>
                <w:numId w:val="2"/>
              </w:numPr>
              <w:rPr>
                <w:rFonts w:ascii="Arial" w:hAnsi="Arial" w:cs="Arial"/>
                <w:sz w:val="24"/>
                <w:szCs w:val="24"/>
              </w:rPr>
            </w:pPr>
            <w:r w:rsidRPr="00661DCC">
              <w:rPr>
                <w:rFonts w:ascii="Arial" w:hAnsi="Arial" w:cs="Arial"/>
                <w:sz w:val="24"/>
                <w:szCs w:val="24"/>
              </w:rPr>
              <w:t>Revenue costs built into the delivery model (demographic modelling &amp; master planning)</w:t>
            </w:r>
          </w:p>
        </w:tc>
        <w:tc>
          <w:tcPr>
            <w:tcW w:w="1560" w:type="dxa"/>
          </w:tcPr>
          <w:p w:rsidR="00584DB6" w:rsidRPr="00661DCC" w:rsidRDefault="00A364AB" w:rsidP="00A364AB">
            <w:pPr>
              <w:rPr>
                <w:rFonts w:ascii="Arial" w:hAnsi="Arial" w:cs="Arial"/>
                <w:sz w:val="24"/>
                <w:szCs w:val="24"/>
              </w:rPr>
            </w:pPr>
            <w:r w:rsidRPr="00661DCC">
              <w:rPr>
                <w:rFonts w:ascii="Arial" w:hAnsi="Arial" w:cs="Arial"/>
                <w:sz w:val="24"/>
                <w:szCs w:val="24"/>
              </w:rPr>
              <w:t>£ 0.264m</w:t>
            </w:r>
          </w:p>
        </w:tc>
        <w:tc>
          <w:tcPr>
            <w:tcW w:w="1407" w:type="dxa"/>
          </w:tcPr>
          <w:p w:rsidR="00584DB6" w:rsidRPr="00661DCC" w:rsidRDefault="00A364AB" w:rsidP="00A364AB">
            <w:pPr>
              <w:rPr>
                <w:rFonts w:ascii="Arial" w:hAnsi="Arial" w:cs="Arial"/>
                <w:sz w:val="24"/>
                <w:szCs w:val="24"/>
              </w:rPr>
            </w:pPr>
          </w:p>
        </w:tc>
      </w:tr>
      <w:tr w:rsidR="00A02009" w:rsidRPr="00661DCC">
        <w:trPr>
          <w:trHeight w:val="276"/>
        </w:trPr>
        <w:tc>
          <w:tcPr>
            <w:tcW w:w="7366" w:type="dxa"/>
          </w:tcPr>
          <w:p w:rsidR="00A02009" w:rsidRPr="00584DB6" w:rsidRDefault="00A364AB" w:rsidP="00A364AB">
            <w:pPr>
              <w:pStyle w:val="ListParagraph"/>
              <w:numPr>
                <w:ilvl w:val="0"/>
                <w:numId w:val="2"/>
              </w:numPr>
              <w:rPr>
                <w:rFonts w:ascii="Arial" w:hAnsi="Arial" w:cs="Arial"/>
                <w:sz w:val="24"/>
                <w:szCs w:val="24"/>
              </w:rPr>
            </w:pPr>
            <w:r w:rsidRPr="00584DB6">
              <w:rPr>
                <w:rFonts w:ascii="Arial" w:hAnsi="Arial" w:cs="Arial"/>
                <w:sz w:val="24"/>
                <w:szCs w:val="24"/>
              </w:rPr>
              <w:t>Updated estimates of A582 works</w:t>
            </w:r>
          </w:p>
        </w:tc>
        <w:tc>
          <w:tcPr>
            <w:tcW w:w="1560" w:type="dxa"/>
          </w:tcPr>
          <w:p w:rsidR="00A02009" w:rsidRPr="00584DB6" w:rsidRDefault="00A364AB" w:rsidP="00A364AB">
            <w:pPr>
              <w:rPr>
                <w:rFonts w:ascii="Arial" w:hAnsi="Arial" w:cs="Arial"/>
                <w:sz w:val="24"/>
                <w:szCs w:val="24"/>
              </w:rPr>
            </w:pPr>
            <w:r w:rsidRPr="00584DB6">
              <w:rPr>
                <w:rFonts w:ascii="Arial" w:hAnsi="Arial" w:cs="Arial"/>
                <w:sz w:val="24"/>
                <w:szCs w:val="24"/>
              </w:rPr>
              <w:t>£ 0.128m</w:t>
            </w:r>
          </w:p>
        </w:tc>
        <w:tc>
          <w:tcPr>
            <w:tcW w:w="1407" w:type="dxa"/>
          </w:tcPr>
          <w:p w:rsidR="00A02009" w:rsidRPr="00661DCC" w:rsidRDefault="00A364AB" w:rsidP="00A364AB">
            <w:pPr>
              <w:rPr>
                <w:rFonts w:ascii="Arial" w:hAnsi="Arial" w:cs="Arial"/>
                <w:sz w:val="24"/>
                <w:szCs w:val="24"/>
              </w:rPr>
            </w:pPr>
          </w:p>
        </w:tc>
      </w:tr>
      <w:tr w:rsidR="00563A72" w:rsidRPr="00661DCC">
        <w:trPr>
          <w:trHeight w:val="276"/>
        </w:trPr>
        <w:tc>
          <w:tcPr>
            <w:tcW w:w="7366" w:type="dxa"/>
          </w:tcPr>
          <w:p w:rsidR="00563A72" w:rsidRPr="00584DB6" w:rsidRDefault="00A364AB" w:rsidP="00A364AB">
            <w:pPr>
              <w:pStyle w:val="ListParagraph"/>
              <w:numPr>
                <w:ilvl w:val="0"/>
                <w:numId w:val="2"/>
              </w:numPr>
              <w:rPr>
                <w:rFonts w:ascii="Arial" w:hAnsi="Arial" w:cs="Arial"/>
                <w:sz w:val="24"/>
                <w:szCs w:val="24"/>
              </w:rPr>
            </w:pPr>
            <w:r w:rsidRPr="00584DB6">
              <w:rPr>
                <w:rFonts w:ascii="Arial" w:hAnsi="Arial" w:cs="Arial"/>
                <w:sz w:val="24"/>
                <w:szCs w:val="24"/>
              </w:rPr>
              <w:t xml:space="preserve">Addition to the model of future years anticipated HCA loan payments </w:t>
            </w:r>
          </w:p>
        </w:tc>
        <w:tc>
          <w:tcPr>
            <w:tcW w:w="1560" w:type="dxa"/>
          </w:tcPr>
          <w:p w:rsidR="00563A72" w:rsidRPr="00584DB6" w:rsidRDefault="00A364AB" w:rsidP="00A364AB">
            <w:pPr>
              <w:rPr>
                <w:rFonts w:ascii="Arial" w:hAnsi="Arial" w:cs="Arial"/>
                <w:sz w:val="24"/>
                <w:szCs w:val="24"/>
              </w:rPr>
            </w:pPr>
            <w:r w:rsidRPr="00584DB6">
              <w:rPr>
                <w:rFonts w:ascii="Arial" w:hAnsi="Arial" w:cs="Arial"/>
                <w:sz w:val="24"/>
                <w:szCs w:val="24"/>
              </w:rPr>
              <w:t>£ 0.354m</w:t>
            </w:r>
          </w:p>
        </w:tc>
        <w:tc>
          <w:tcPr>
            <w:tcW w:w="1407" w:type="dxa"/>
          </w:tcPr>
          <w:p w:rsidR="00563A72" w:rsidRPr="00661DCC" w:rsidRDefault="00A364AB" w:rsidP="00A364AB">
            <w:pPr>
              <w:rPr>
                <w:rFonts w:ascii="Arial" w:hAnsi="Arial" w:cs="Arial"/>
                <w:sz w:val="24"/>
                <w:szCs w:val="24"/>
              </w:rPr>
            </w:pPr>
          </w:p>
        </w:tc>
      </w:tr>
      <w:tr w:rsidR="00584DB6" w:rsidRPr="00661DCC">
        <w:trPr>
          <w:trHeight w:val="276"/>
        </w:trPr>
        <w:tc>
          <w:tcPr>
            <w:tcW w:w="7366" w:type="dxa"/>
          </w:tcPr>
          <w:p w:rsidR="00584DB6" w:rsidRPr="00584DB6" w:rsidRDefault="00A364AB" w:rsidP="00A364AB">
            <w:pPr>
              <w:pStyle w:val="ListParagraph"/>
              <w:numPr>
                <w:ilvl w:val="0"/>
                <w:numId w:val="2"/>
              </w:numPr>
              <w:rPr>
                <w:rFonts w:ascii="Arial" w:hAnsi="Arial" w:cs="Arial"/>
                <w:sz w:val="24"/>
                <w:szCs w:val="24"/>
              </w:rPr>
            </w:pPr>
            <w:r w:rsidRPr="00584DB6">
              <w:rPr>
                <w:rFonts w:ascii="Arial" w:hAnsi="Arial" w:cs="Arial"/>
                <w:sz w:val="24"/>
                <w:szCs w:val="24"/>
              </w:rPr>
              <w:t xml:space="preserve">Miscellaneous changes to expenditure </w:t>
            </w:r>
            <w:r w:rsidRPr="00584DB6">
              <w:rPr>
                <w:rFonts w:ascii="Arial" w:hAnsi="Arial" w:cs="Arial"/>
                <w:i/>
                <w:sz w:val="24"/>
                <w:szCs w:val="24"/>
              </w:rPr>
              <w:t>–</w:t>
            </w:r>
            <w:r w:rsidRPr="00584DB6">
              <w:rPr>
                <w:rFonts w:ascii="Arial" w:hAnsi="Arial" w:cs="Arial"/>
                <w:sz w:val="24"/>
                <w:szCs w:val="24"/>
              </w:rPr>
              <w:t xml:space="preserve"> including</w:t>
            </w:r>
            <w:r w:rsidRPr="00584DB6">
              <w:rPr>
                <w:rFonts w:ascii="Arial" w:hAnsi="Arial" w:cs="Arial"/>
                <w:i/>
                <w:sz w:val="24"/>
                <w:szCs w:val="24"/>
              </w:rPr>
              <w:t xml:space="preserve"> </w:t>
            </w:r>
            <w:r w:rsidRPr="00584DB6">
              <w:rPr>
                <w:rFonts w:ascii="Arial" w:hAnsi="Arial" w:cs="Arial"/>
                <w:sz w:val="24"/>
                <w:szCs w:val="24"/>
              </w:rPr>
              <w:t>updates on the admin and parish deductions from cil contributions.</w:t>
            </w:r>
          </w:p>
        </w:tc>
        <w:tc>
          <w:tcPr>
            <w:tcW w:w="1560" w:type="dxa"/>
          </w:tcPr>
          <w:p w:rsidR="00584DB6" w:rsidRPr="00584DB6" w:rsidRDefault="00A364AB" w:rsidP="00A364AB">
            <w:pPr>
              <w:rPr>
                <w:rFonts w:ascii="Arial" w:hAnsi="Arial" w:cs="Arial"/>
                <w:sz w:val="24"/>
                <w:szCs w:val="24"/>
              </w:rPr>
            </w:pPr>
            <w:r w:rsidRPr="00584DB6">
              <w:rPr>
                <w:rFonts w:ascii="Arial" w:hAnsi="Arial" w:cs="Arial"/>
                <w:sz w:val="24"/>
                <w:szCs w:val="24"/>
              </w:rPr>
              <w:t>£ 0.</w:t>
            </w:r>
            <w:r w:rsidRPr="00584DB6">
              <w:rPr>
                <w:rFonts w:ascii="Arial" w:hAnsi="Arial" w:cs="Arial"/>
                <w:sz w:val="24"/>
                <w:szCs w:val="24"/>
              </w:rPr>
              <w:t>307m</w:t>
            </w:r>
          </w:p>
        </w:tc>
        <w:tc>
          <w:tcPr>
            <w:tcW w:w="1407" w:type="dxa"/>
          </w:tcPr>
          <w:p w:rsidR="00584DB6" w:rsidRPr="00584DB6" w:rsidRDefault="00A364AB" w:rsidP="00A364AB">
            <w:pPr>
              <w:rPr>
                <w:rFonts w:ascii="Arial" w:hAnsi="Arial" w:cs="Arial"/>
                <w:sz w:val="24"/>
                <w:szCs w:val="24"/>
              </w:rPr>
            </w:pPr>
          </w:p>
        </w:tc>
      </w:tr>
      <w:tr w:rsidR="00584DB6" w:rsidRPr="00661DCC">
        <w:trPr>
          <w:trHeight w:val="276"/>
        </w:trPr>
        <w:tc>
          <w:tcPr>
            <w:tcW w:w="7366" w:type="dxa"/>
          </w:tcPr>
          <w:p w:rsidR="00584DB6" w:rsidRPr="00661DCC" w:rsidRDefault="00A364AB" w:rsidP="00A364AB">
            <w:pPr>
              <w:rPr>
                <w:rFonts w:ascii="Arial" w:hAnsi="Arial" w:cs="Arial"/>
                <w:sz w:val="24"/>
                <w:szCs w:val="24"/>
              </w:rPr>
            </w:pPr>
          </w:p>
        </w:tc>
        <w:tc>
          <w:tcPr>
            <w:tcW w:w="1560" w:type="dxa"/>
          </w:tcPr>
          <w:p w:rsidR="00584DB6" w:rsidRPr="00661DCC" w:rsidRDefault="00A364AB" w:rsidP="00A364AB">
            <w:pPr>
              <w:rPr>
                <w:rFonts w:ascii="Arial" w:hAnsi="Arial" w:cs="Arial"/>
                <w:sz w:val="24"/>
                <w:szCs w:val="24"/>
              </w:rPr>
            </w:pPr>
          </w:p>
        </w:tc>
        <w:tc>
          <w:tcPr>
            <w:tcW w:w="1407" w:type="dxa"/>
          </w:tcPr>
          <w:p w:rsidR="00584DB6" w:rsidRPr="00661DCC" w:rsidRDefault="00A364AB" w:rsidP="00A364AB">
            <w:pPr>
              <w:rPr>
                <w:rFonts w:ascii="Arial" w:hAnsi="Arial" w:cs="Arial"/>
                <w:sz w:val="24"/>
                <w:szCs w:val="24"/>
              </w:rPr>
            </w:pPr>
          </w:p>
        </w:tc>
      </w:tr>
      <w:tr w:rsidR="00584DB6" w:rsidRPr="00661DCC">
        <w:trPr>
          <w:trHeight w:val="276"/>
        </w:trPr>
        <w:tc>
          <w:tcPr>
            <w:tcW w:w="7366" w:type="dxa"/>
          </w:tcPr>
          <w:p w:rsidR="00584DB6" w:rsidRPr="00661DCC" w:rsidRDefault="00A364AB" w:rsidP="00A364AB">
            <w:pPr>
              <w:rPr>
                <w:rFonts w:ascii="Arial" w:hAnsi="Arial" w:cs="Arial"/>
                <w:b/>
                <w:sz w:val="24"/>
                <w:szCs w:val="24"/>
              </w:rPr>
            </w:pPr>
            <w:r w:rsidRPr="00661DCC">
              <w:rPr>
                <w:rFonts w:ascii="Arial" w:hAnsi="Arial" w:cs="Arial"/>
                <w:b/>
                <w:sz w:val="24"/>
                <w:szCs w:val="24"/>
              </w:rPr>
              <w:t xml:space="preserve">Net additional expenditure </w:t>
            </w:r>
          </w:p>
        </w:tc>
        <w:tc>
          <w:tcPr>
            <w:tcW w:w="1560" w:type="dxa"/>
          </w:tcPr>
          <w:p w:rsidR="00584DB6" w:rsidRPr="00661DCC" w:rsidRDefault="00A364AB" w:rsidP="00A364AB">
            <w:pPr>
              <w:rPr>
                <w:rFonts w:ascii="Arial" w:hAnsi="Arial" w:cs="Arial"/>
                <w:b/>
                <w:sz w:val="24"/>
                <w:szCs w:val="24"/>
              </w:rPr>
            </w:pPr>
          </w:p>
        </w:tc>
        <w:tc>
          <w:tcPr>
            <w:tcW w:w="1407" w:type="dxa"/>
          </w:tcPr>
          <w:p w:rsidR="00584DB6" w:rsidRPr="00661DCC" w:rsidRDefault="00A364AB" w:rsidP="00A364AB">
            <w:pPr>
              <w:rPr>
                <w:rFonts w:ascii="Arial" w:hAnsi="Arial" w:cs="Arial"/>
                <w:b/>
                <w:sz w:val="24"/>
                <w:szCs w:val="24"/>
              </w:rPr>
            </w:pPr>
            <w:r w:rsidRPr="00661DCC">
              <w:rPr>
                <w:rFonts w:ascii="Arial" w:hAnsi="Arial" w:cs="Arial"/>
                <w:b/>
                <w:sz w:val="24"/>
                <w:szCs w:val="24"/>
              </w:rPr>
              <w:t>- £ 1.053m</w:t>
            </w:r>
          </w:p>
        </w:tc>
      </w:tr>
      <w:tr w:rsidR="00584DB6" w:rsidRPr="00661DCC">
        <w:trPr>
          <w:trHeight w:val="276"/>
        </w:trPr>
        <w:tc>
          <w:tcPr>
            <w:tcW w:w="7366" w:type="dxa"/>
          </w:tcPr>
          <w:p w:rsidR="00584DB6" w:rsidRPr="00661DCC" w:rsidRDefault="00A364AB" w:rsidP="00A364AB">
            <w:pPr>
              <w:rPr>
                <w:rFonts w:ascii="Arial" w:hAnsi="Arial" w:cs="Arial"/>
                <w:sz w:val="24"/>
                <w:szCs w:val="24"/>
              </w:rPr>
            </w:pPr>
          </w:p>
        </w:tc>
        <w:tc>
          <w:tcPr>
            <w:tcW w:w="1560" w:type="dxa"/>
          </w:tcPr>
          <w:p w:rsidR="00584DB6" w:rsidRPr="00661DCC" w:rsidRDefault="00A364AB" w:rsidP="00A364AB">
            <w:pPr>
              <w:rPr>
                <w:rFonts w:ascii="Arial" w:hAnsi="Arial" w:cs="Arial"/>
                <w:sz w:val="24"/>
                <w:szCs w:val="24"/>
              </w:rPr>
            </w:pPr>
          </w:p>
        </w:tc>
        <w:tc>
          <w:tcPr>
            <w:tcW w:w="1407" w:type="dxa"/>
          </w:tcPr>
          <w:p w:rsidR="00584DB6" w:rsidRPr="00661DCC" w:rsidRDefault="00A364AB" w:rsidP="00A364AB">
            <w:pPr>
              <w:rPr>
                <w:rFonts w:ascii="Arial" w:hAnsi="Arial" w:cs="Arial"/>
                <w:sz w:val="24"/>
                <w:szCs w:val="24"/>
              </w:rPr>
            </w:pPr>
          </w:p>
        </w:tc>
      </w:tr>
      <w:tr w:rsidR="00584DB6" w:rsidRPr="00661DCC">
        <w:trPr>
          <w:trHeight w:val="276"/>
        </w:trPr>
        <w:tc>
          <w:tcPr>
            <w:tcW w:w="7366" w:type="dxa"/>
          </w:tcPr>
          <w:p w:rsidR="00584DB6" w:rsidRPr="00824215" w:rsidRDefault="00A364AB" w:rsidP="00A364AB">
            <w:pPr>
              <w:rPr>
                <w:rFonts w:ascii="Arial" w:hAnsi="Arial" w:cs="Arial"/>
                <w:b/>
                <w:sz w:val="24"/>
                <w:szCs w:val="24"/>
              </w:rPr>
            </w:pPr>
            <w:r>
              <w:rPr>
                <w:rFonts w:ascii="Arial" w:hAnsi="Arial" w:cs="Arial"/>
                <w:b/>
                <w:sz w:val="24"/>
                <w:szCs w:val="24"/>
              </w:rPr>
              <w:t>Changes to the model</w:t>
            </w:r>
            <w:r w:rsidRPr="00824215">
              <w:rPr>
                <w:rFonts w:ascii="Arial" w:hAnsi="Arial" w:cs="Arial"/>
                <w:b/>
                <w:sz w:val="24"/>
                <w:szCs w:val="24"/>
              </w:rPr>
              <w:t xml:space="preserve"> with no net effect or to reflect additional funded schemes </w:t>
            </w:r>
          </w:p>
        </w:tc>
        <w:tc>
          <w:tcPr>
            <w:tcW w:w="1560" w:type="dxa"/>
          </w:tcPr>
          <w:p w:rsidR="00584DB6" w:rsidRPr="00661DCC" w:rsidRDefault="00A364AB" w:rsidP="00A364AB">
            <w:pPr>
              <w:rPr>
                <w:rFonts w:ascii="Arial" w:hAnsi="Arial" w:cs="Arial"/>
                <w:sz w:val="24"/>
                <w:szCs w:val="24"/>
              </w:rPr>
            </w:pPr>
          </w:p>
        </w:tc>
        <w:tc>
          <w:tcPr>
            <w:tcW w:w="1407" w:type="dxa"/>
          </w:tcPr>
          <w:p w:rsidR="00584DB6" w:rsidRPr="00661DCC" w:rsidRDefault="00A364AB" w:rsidP="00A364AB">
            <w:pPr>
              <w:rPr>
                <w:rFonts w:ascii="Arial" w:hAnsi="Arial" w:cs="Arial"/>
                <w:sz w:val="24"/>
                <w:szCs w:val="24"/>
              </w:rPr>
            </w:pPr>
          </w:p>
        </w:tc>
      </w:tr>
      <w:tr w:rsidR="00584DB6" w:rsidRPr="00661DCC">
        <w:trPr>
          <w:trHeight w:val="276"/>
        </w:trPr>
        <w:tc>
          <w:tcPr>
            <w:tcW w:w="7366" w:type="dxa"/>
          </w:tcPr>
          <w:p w:rsidR="00584DB6" w:rsidRPr="00661DCC" w:rsidRDefault="00A364AB" w:rsidP="00A364AB">
            <w:pPr>
              <w:pStyle w:val="ListParagraph"/>
              <w:numPr>
                <w:ilvl w:val="0"/>
                <w:numId w:val="2"/>
              </w:numPr>
              <w:rPr>
                <w:rFonts w:ascii="Arial" w:hAnsi="Arial" w:cs="Arial"/>
                <w:sz w:val="24"/>
                <w:szCs w:val="24"/>
              </w:rPr>
            </w:pPr>
            <w:r w:rsidRPr="00661DCC">
              <w:rPr>
                <w:rFonts w:ascii="Arial" w:hAnsi="Arial" w:cs="Arial"/>
                <w:sz w:val="24"/>
                <w:szCs w:val="24"/>
              </w:rPr>
              <w:t>Increased CIL charges to reflect the inflation added to the charge per year – this is anticipated to cover additional inflationary pressures on scheme costs at 2012 prices within the model  ( £16.188)</w:t>
            </w:r>
          </w:p>
        </w:tc>
        <w:tc>
          <w:tcPr>
            <w:tcW w:w="1560" w:type="dxa"/>
          </w:tcPr>
          <w:p w:rsidR="00584DB6" w:rsidRPr="00661DCC" w:rsidRDefault="00A364AB" w:rsidP="00A364AB">
            <w:pPr>
              <w:rPr>
                <w:rFonts w:ascii="Arial" w:hAnsi="Arial" w:cs="Arial"/>
                <w:sz w:val="24"/>
                <w:szCs w:val="24"/>
              </w:rPr>
            </w:pPr>
            <w:r w:rsidRPr="00661DCC">
              <w:rPr>
                <w:rFonts w:ascii="Arial" w:hAnsi="Arial" w:cs="Arial"/>
                <w:sz w:val="24"/>
                <w:szCs w:val="24"/>
              </w:rPr>
              <w:t xml:space="preserve">£ 16.188m </w:t>
            </w:r>
          </w:p>
          <w:p w:rsidR="00584DB6" w:rsidRPr="00661DCC" w:rsidRDefault="00A364AB" w:rsidP="00A364AB">
            <w:pPr>
              <w:rPr>
                <w:rFonts w:ascii="Arial" w:hAnsi="Arial" w:cs="Arial"/>
                <w:sz w:val="24"/>
                <w:szCs w:val="24"/>
              </w:rPr>
            </w:pPr>
            <w:r w:rsidRPr="00661DCC">
              <w:rPr>
                <w:rFonts w:ascii="Arial" w:hAnsi="Arial" w:cs="Arial"/>
                <w:sz w:val="24"/>
                <w:szCs w:val="24"/>
              </w:rPr>
              <w:t>-£16.188m</w:t>
            </w:r>
          </w:p>
        </w:tc>
        <w:tc>
          <w:tcPr>
            <w:tcW w:w="1407" w:type="dxa"/>
          </w:tcPr>
          <w:p w:rsidR="00584DB6" w:rsidRPr="00661DCC" w:rsidRDefault="00A364AB" w:rsidP="00A364AB">
            <w:pPr>
              <w:rPr>
                <w:rFonts w:ascii="Arial" w:hAnsi="Arial" w:cs="Arial"/>
                <w:sz w:val="24"/>
                <w:szCs w:val="24"/>
              </w:rPr>
            </w:pPr>
          </w:p>
        </w:tc>
      </w:tr>
      <w:tr w:rsidR="00584DB6" w:rsidRPr="00661DCC">
        <w:trPr>
          <w:trHeight w:val="276"/>
        </w:trPr>
        <w:tc>
          <w:tcPr>
            <w:tcW w:w="7366" w:type="dxa"/>
          </w:tcPr>
          <w:p w:rsidR="00584DB6" w:rsidRPr="00661DCC" w:rsidRDefault="00A364AB" w:rsidP="00A364AB">
            <w:pPr>
              <w:pStyle w:val="ListParagraph"/>
              <w:numPr>
                <w:ilvl w:val="0"/>
                <w:numId w:val="2"/>
              </w:numPr>
              <w:rPr>
                <w:rFonts w:ascii="Arial" w:hAnsi="Arial" w:cs="Arial"/>
                <w:sz w:val="24"/>
                <w:szCs w:val="24"/>
              </w:rPr>
            </w:pPr>
            <w:r w:rsidRPr="00661DCC">
              <w:rPr>
                <w:rFonts w:ascii="Arial" w:hAnsi="Arial" w:cs="Arial"/>
                <w:sz w:val="24"/>
                <w:szCs w:val="24"/>
              </w:rPr>
              <w:t xml:space="preserve">Communications budget of </w:t>
            </w:r>
            <w:r w:rsidRPr="00661DCC">
              <w:rPr>
                <w:rFonts w:ascii="Arial" w:hAnsi="Arial" w:cs="Arial"/>
                <w:sz w:val="24"/>
                <w:szCs w:val="24"/>
              </w:rPr>
              <w:t>£0.065m set up to promote schemes and city deal,  funded by contributions from partners  (£0.065m)</w:t>
            </w:r>
            <w:r>
              <w:rPr>
                <w:rFonts w:ascii="Arial" w:hAnsi="Arial" w:cs="Arial"/>
                <w:sz w:val="24"/>
                <w:szCs w:val="24"/>
              </w:rPr>
              <w:t xml:space="preserve"> </w:t>
            </w:r>
          </w:p>
        </w:tc>
        <w:tc>
          <w:tcPr>
            <w:tcW w:w="1560" w:type="dxa"/>
          </w:tcPr>
          <w:p w:rsidR="00584DB6" w:rsidRPr="00661DCC" w:rsidRDefault="00A364AB" w:rsidP="00A364AB">
            <w:pPr>
              <w:rPr>
                <w:rFonts w:ascii="Arial" w:hAnsi="Arial" w:cs="Arial"/>
                <w:sz w:val="24"/>
                <w:szCs w:val="24"/>
              </w:rPr>
            </w:pPr>
            <w:r w:rsidRPr="00661DCC">
              <w:rPr>
                <w:rFonts w:ascii="Arial" w:hAnsi="Arial" w:cs="Arial"/>
                <w:sz w:val="24"/>
                <w:szCs w:val="24"/>
              </w:rPr>
              <w:t xml:space="preserve">-£ 0.065m </w:t>
            </w:r>
          </w:p>
          <w:p w:rsidR="00584DB6" w:rsidRPr="00661DCC" w:rsidRDefault="00A364AB" w:rsidP="00A364AB">
            <w:pPr>
              <w:rPr>
                <w:rFonts w:ascii="Arial" w:hAnsi="Arial" w:cs="Arial"/>
                <w:sz w:val="24"/>
                <w:szCs w:val="24"/>
              </w:rPr>
            </w:pPr>
            <w:r w:rsidRPr="00661DCC">
              <w:rPr>
                <w:rFonts w:ascii="Arial" w:hAnsi="Arial" w:cs="Arial"/>
                <w:sz w:val="24"/>
                <w:szCs w:val="24"/>
              </w:rPr>
              <w:t>£ 0.065m</w:t>
            </w:r>
          </w:p>
        </w:tc>
        <w:tc>
          <w:tcPr>
            <w:tcW w:w="1407" w:type="dxa"/>
          </w:tcPr>
          <w:p w:rsidR="00584DB6" w:rsidRPr="00661DCC" w:rsidRDefault="00A364AB" w:rsidP="00A364AB">
            <w:pPr>
              <w:rPr>
                <w:rFonts w:ascii="Arial" w:hAnsi="Arial" w:cs="Arial"/>
                <w:sz w:val="24"/>
                <w:szCs w:val="24"/>
              </w:rPr>
            </w:pPr>
          </w:p>
        </w:tc>
      </w:tr>
      <w:tr w:rsidR="00584DB6" w:rsidRPr="00661DCC">
        <w:trPr>
          <w:trHeight w:val="276"/>
        </w:trPr>
        <w:tc>
          <w:tcPr>
            <w:tcW w:w="7366" w:type="dxa"/>
          </w:tcPr>
          <w:p w:rsidR="00584DB6" w:rsidRPr="00661DCC" w:rsidRDefault="00A364AB" w:rsidP="00A364AB">
            <w:pPr>
              <w:pStyle w:val="ListParagraph"/>
              <w:numPr>
                <w:ilvl w:val="0"/>
                <w:numId w:val="2"/>
              </w:numPr>
              <w:rPr>
                <w:rFonts w:ascii="Arial" w:hAnsi="Arial" w:cs="Arial"/>
                <w:sz w:val="24"/>
                <w:szCs w:val="24"/>
              </w:rPr>
            </w:pPr>
            <w:r w:rsidRPr="00661DCC">
              <w:rPr>
                <w:rFonts w:ascii="Arial" w:hAnsi="Arial" w:cs="Arial"/>
                <w:sz w:val="24"/>
                <w:szCs w:val="24"/>
              </w:rPr>
              <w:t xml:space="preserve">Effect of reprofiling income and expenditure leads to increased charges for financing – this is met by additional resource to the deal by LCC  (£2.583m) </w:t>
            </w:r>
          </w:p>
        </w:tc>
        <w:tc>
          <w:tcPr>
            <w:tcW w:w="1560" w:type="dxa"/>
          </w:tcPr>
          <w:p w:rsidR="00584DB6" w:rsidRPr="00661DCC" w:rsidRDefault="00A364AB" w:rsidP="00A364AB">
            <w:pPr>
              <w:rPr>
                <w:rFonts w:ascii="Arial" w:hAnsi="Arial" w:cs="Arial"/>
                <w:sz w:val="24"/>
                <w:szCs w:val="24"/>
              </w:rPr>
            </w:pPr>
            <w:r w:rsidRPr="00661DCC">
              <w:rPr>
                <w:rFonts w:ascii="Arial" w:hAnsi="Arial" w:cs="Arial"/>
                <w:sz w:val="24"/>
                <w:szCs w:val="24"/>
              </w:rPr>
              <w:t>-£ 2.583m</w:t>
            </w:r>
          </w:p>
          <w:p w:rsidR="00584DB6" w:rsidRPr="00661DCC" w:rsidRDefault="00A364AB" w:rsidP="00A364AB">
            <w:pPr>
              <w:rPr>
                <w:rFonts w:ascii="Arial" w:hAnsi="Arial" w:cs="Arial"/>
                <w:sz w:val="24"/>
                <w:szCs w:val="24"/>
              </w:rPr>
            </w:pPr>
            <w:r w:rsidRPr="00661DCC">
              <w:rPr>
                <w:rFonts w:ascii="Arial" w:hAnsi="Arial" w:cs="Arial"/>
                <w:sz w:val="24"/>
                <w:szCs w:val="24"/>
              </w:rPr>
              <w:t>£2.583m</w:t>
            </w:r>
          </w:p>
        </w:tc>
        <w:tc>
          <w:tcPr>
            <w:tcW w:w="1407" w:type="dxa"/>
          </w:tcPr>
          <w:p w:rsidR="00584DB6" w:rsidRPr="00661DCC" w:rsidRDefault="00A364AB" w:rsidP="00A364AB">
            <w:pPr>
              <w:rPr>
                <w:rFonts w:ascii="Arial" w:hAnsi="Arial" w:cs="Arial"/>
                <w:sz w:val="24"/>
                <w:szCs w:val="24"/>
              </w:rPr>
            </w:pPr>
          </w:p>
        </w:tc>
      </w:tr>
      <w:tr w:rsidR="00584DB6" w:rsidRPr="00661DCC">
        <w:trPr>
          <w:trHeight w:val="276"/>
        </w:trPr>
        <w:tc>
          <w:tcPr>
            <w:tcW w:w="7366" w:type="dxa"/>
          </w:tcPr>
          <w:p w:rsidR="00584DB6" w:rsidRPr="00661DCC" w:rsidRDefault="00A364AB" w:rsidP="00A364AB">
            <w:pPr>
              <w:rPr>
                <w:rFonts w:ascii="Arial" w:hAnsi="Arial" w:cs="Arial"/>
                <w:b/>
                <w:sz w:val="24"/>
                <w:szCs w:val="24"/>
              </w:rPr>
            </w:pPr>
            <w:r w:rsidRPr="00661DCC">
              <w:rPr>
                <w:rFonts w:ascii="Arial" w:hAnsi="Arial" w:cs="Arial"/>
                <w:b/>
                <w:sz w:val="24"/>
                <w:szCs w:val="24"/>
              </w:rPr>
              <w:t xml:space="preserve">Overall changes to the model </w:t>
            </w:r>
          </w:p>
        </w:tc>
        <w:tc>
          <w:tcPr>
            <w:tcW w:w="1560" w:type="dxa"/>
          </w:tcPr>
          <w:p w:rsidR="00584DB6" w:rsidRPr="00661DCC" w:rsidRDefault="00A364AB" w:rsidP="00A364AB">
            <w:pPr>
              <w:rPr>
                <w:rFonts w:ascii="Arial" w:hAnsi="Arial" w:cs="Arial"/>
                <w:b/>
                <w:sz w:val="24"/>
                <w:szCs w:val="24"/>
              </w:rPr>
            </w:pPr>
          </w:p>
        </w:tc>
        <w:tc>
          <w:tcPr>
            <w:tcW w:w="1407" w:type="dxa"/>
          </w:tcPr>
          <w:p w:rsidR="00584DB6" w:rsidRPr="00661DCC" w:rsidRDefault="00A364AB" w:rsidP="00A364AB">
            <w:pPr>
              <w:rPr>
                <w:rFonts w:ascii="Arial" w:hAnsi="Arial" w:cs="Arial"/>
                <w:b/>
                <w:sz w:val="24"/>
                <w:szCs w:val="24"/>
              </w:rPr>
            </w:pPr>
            <w:r w:rsidRPr="00661DCC">
              <w:rPr>
                <w:rFonts w:ascii="Arial" w:hAnsi="Arial" w:cs="Arial"/>
                <w:b/>
                <w:sz w:val="24"/>
                <w:szCs w:val="24"/>
              </w:rPr>
              <w:t>0</w:t>
            </w:r>
          </w:p>
        </w:tc>
      </w:tr>
      <w:tr w:rsidR="00584DB6" w:rsidRPr="00661DCC">
        <w:trPr>
          <w:trHeight w:val="276"/>
        </w:trPr>
        <w:tc>
          <w:tcPr>
            <w:tcW w:w="7366" w:type="dxa"/>
          </w:tcPr>
          <w:p w:rsidR="00584DB6" w:rsidRPr="00661DCC" w:rsidRDefault="00A364AB" w:rsidP="00A364AB">
            <w:pPr>
              <w:rPr>
                <w:rFonts w:ascii="Arial" w:hAnsi="Arial" w:cs="Arial"/>
                <w:sz w:val="24"/>
                <w:szCs w:val="24"/>
              </w:rPr>
            </w:pPr>
          </w:p>
        </w:tc>
        <w:tc>
          <w:tcPr>
            <w:tcW w:w="1560" w:type="dxa"/>
          </w:tcPr>
          <w:p w:rsidR="00584DB6" w:rsidRPr="00661DCC" w:rsidRDefault="00A364AB" w:rsidP="00A364AB">
            <w:pPr>
              <w:rPr>
                <w:rFonts w:ascii="Arial" w:hAnsi="Arial" w:cs="Arial"/>
                <w:sz w:val="24"/>
                <w:szCs w:val="24"/>
              </w:rPr>
            </w:pPr>
          </w:p>
        </w:tc>
        <w:tc>
          <w:tcPr>
            <w:tcW w:w="1407" w:type="dxa"/>
          </w:tcPr>
          <w:p w:rsidR="00584DB6" w:rsidRPr="00661DCC" w:rsidRDefault="00A364AB" w:rsidP="00A364AB">
            <w:pPr>
              <w:rPr>
                <w:rFonts w:ascii="Arial" w:hAnsi="Arial" w:cs="Arial"/>
                <w:sz w:val="24"/>
                <w:szCs w:val="24"/>
              </w:rPr>
            </w:pPr>
          </w:p>
        </w:tc>
      </w:tr>
      <w:tr w:rsidR="00584DB6" w:rsidRPr="00661DCC">
        <w:trPr>
          <w:trHeight w:val="276"/>
        </w:trPr>
        <w:tc>
          <w:tcPr>
            <w:tcW w:w="7366" w:type="dxa"/>
          </w:tcPr>
          <w:p w:rsidR="00584DB6" w:rsidRPr="00661DCC" w:rsidRDefault="00A364AB" w:rsidP="00A364AB">
            <w:pPr>
              <w:rPr>
                <w:rFonts w:ascii="Arial" w:hAnsi="Arial" w:cs="Arial"/>
                <w:b/>
                <w:sz w:val="24"/>
                <w:szCs w:val="24"/>
              </w:rPr>
            </w:pPr>
            <w:r w:rsidRPr="00661DCC">
              <w:rPr>
                <w:rFonts w:ascii="Arial" w:hAnsi="Arial" w:cs="Arial"/>
                <w:b/>
                <w:sz w:val="24"/>
                <w:szCs w:val="24"/>
              </w:rPr>
              <w:t xml:space="preserve">Corrections to the model </w:t>
            </w:r>
          </w:p>
        </w:tc>
        <w:tc>
          <w:tcPr>
            <w:tcW w:w="1560" w:type="dxa"/>
          </w:tcPr>
          <w:p w:rsidR="00584DB6" w:rsidRPr="00661DCC" w:rsidRDefault="00A364AB" w:rsidP="00A364AB">
            <w:pPr>
              <w:rPr>
                <w:rFonts w:ascii="Arial" w:hAnsi="Arial" w:cs="Arial"/>
                <w:b/>
                <w:sz w:val="24"/>
                <w:szCs w:val="24"/>
              </w:rPr>
            </w:pPr>
          </w:p>
        </w:tc>
        <w:tc>
          <w:tcPr>
            <w:tcW w:w="1407" w:type="dxa"/>
          </w:tcPr>
          <w:p w:rsidR="00584DB6" w:rsidRPr="00661DCC" w:rsidRDefault="00A364AB" w:rsidP="00A364AB">
            <w:pPr>
              <w:rPr>
                <w:rFonts w:ascii="Arial" w:hAnsi="Arial" w:cs="Arial"/>
                <w:b/>
                <w:sz w:val="24"/>
                <w:szCs w:val="24"/>
              </w:rPr>
            </w:pPr>
          </w:p>
        </w:tc>
      </w:tr>
      <w:tr w:rsidR="00584DB6" w:rsidRPr="00661DCC">
        <w:trPr>
          <w:trHeight w:val="276"/>
        </w:trPr>
        <w:tc>
          <w:tcPr>
            <w:tcW w:w="7366" w:type="dxa"/>
          </w:tcPr>
          <w:p w:rsidR="00584DB6" w:rsidRPr="00661DCC" w:rsidRDefault="00A364AB" w:rsidP="00A364AB">
            <w:pPr>
              <w:pStyle w:val="ListParagraph"/>
              <w:numPr>
                <w:ilvl w:val="0"/>
                <w:numId w:val="2"/>
              </w:numPr>
              <w:rPr>
                <w:rFonts w:ascii="Arial" w:hAnsi="Arial" w:cs="Arial"/>
                <w:sz w:val="24"/>
                <w:szCs w:val="24"/>
              </w:rPr>
            </w:pPr>
            <w:r w:rsidRPr="00661DCC">
              <w:rPr>
                <w:rFonts w:ascii="Arial" w:hAnsi="Arial" w:cs="Arial"/>
                <w:sz w:val="24"/>
                <w:szCs w:val="24"/>
              </w:rPr>
              <w:t xml:space="preserve">Model had HCA grant receipts of £39.181m where cap is at the agreed amount of 37.50 to include the interest to be paid. This has been corrected in the model through this year leading to a net reduction in the resources </w:t>
            </w:r>
          </w:p>
        </w:tc>
        <w:tc>
          <w:tcPr>
            <w:tcW w:w="1560" w:type="dxa"/>
          </w:tcPr>
          <w:p w:rsidR="00584DB6" w:rsidRPr="00661DCC" w:rsidRDefault="00A364AB" w:rsidP="00A364AB">
            <w:pPr>
              <w:rPr>
                <w:rFonts w:ascii="Arial" w:hAnsi="Arial" w:cs="Arial"/>
                <w:sz w:val="24"/>
                <w:szCs w:val="24"/>
              </w:rPr>
            </w:pPr>
          </w:p>
        </w:tc>
        <w:tc>
          <w:tcPr>
            <w:tcW w:w="1407" w:type="dxa"/>
          </w:tcPr>
          <w:p w:rsidR="00584DB6" w:rsidRPr="00661DCC" w:rsidRDefault="00A364AB" w:rsidP="00A364AB">
            <w:pPr>
              <w:rPr>
                <w:rFonts w:ascii="Arial" w:hAnsi="Arial" w:cs="Arial"/>
                <w:sz w:val="24"/>
                <w:szCs w:val="24"/>
              </w:rPr>
            </w:pPr>
            <w:r w:rsidRPr="00661DCC">
              <w:rPr>
                <w:rFonts w:ascii="Arial" w:hAnsi="Arial" w:cs="Arial"/>
                <w:sz w:val="24"/>
                <w:szCs w:val="24"/>
              </w:rPr>
              <w:t>-1.681</w:t>
            </w:r>
          </w:p>
        </w:tc>
      </w:tr>
      <w:tr w:rsidR="00584DB6" w:rsidRPr="00584DB6">
        <w:trPr>
          <w:trHeight w:val="276"/>
        </w:trPr>
        <w:tc>
          <w:tcPr>
            <w:tcW w:w="7366" w:type="dxa"/>
          </w:tcPr>
          <w:p w:rsidR="00584DB6" w:rsidRPr="00584DB6" w:rsidRDefault="00A364AB" w:rsidP="00A364AB">
            <w:pPr>
              <w:pStyle w:val="ListParagraph"/>
              <w:numPr>
                <w:ilvl w:val="0"/>
                <w:numId w:val="2"/>
              </w:numPr>
              <w:rPr>
                <w:rFonts w:ascii="Arial" w:hAnsi="Arial" w:cs="Arial"/>
                <w:sz w:val="24"/>
                <w:szCs w:val="24"/>
              </w:rPr>
            </w:pPr>
            <w:r w:rsidRPr="00584DB6">
              <w:rPr>
                <w:rFonts w:ascii="Arial" w:hAnsi="Arial" w:cs="Arial"/>
                <w:sz w:val="24"/>
                <w:szCs w:val="24"/>
              </w:rPr>
              <w:t>Original model had Fishergate phase 1 budget in, later models had phase 2 and 3. Actuals were recorded for all phases against these incorrect budgets and all income was recorded. Over the year the model has been corrected to reflect the correct budgets due</w:t>
            </w:r>
            <w:r w:rsidRPr="00584DB6">
              <w:rPr>
                <w:rFonts w:ascii="Arial" w:hAnsi="Arial" w:cs="Arial"/>
                <w:sz w:val="24"/>
                <w:szCs w:val="24"/>
              </w:rPr>
              <w:t xml:space="preserve"> for the full scheme which has increased expenditure budgets in the model</w:t>
            </w:r>
            <w:r w:rsidRPr="00584DB6">
              <w:rPr>
                <w:rFonts w:ascii="Arial" w:hAnsi="Arial" w:cs="Arial"/>
                <w:sz w:val="24"/>
                <w:szCs w:val="24"/>
              </w:rPr>
              <w:t xml:space="preserve">. </w:t>
            </w:r>
            <w:r>
              <w:rPr>
                <w:rFonts w:ascii="Arial" w:hAnsi="Arial" w:cs="Arial"/>
                <w:sz w:val="24"/>
                <w:szCs w:val="24"/>
              </w:rPr>
              <w:t xml:space="preserve">The </w:t>
            </w:r>
            <w:r>
              <w:rPr>
                <w:rFonts w:ascii="Arial" w:hAnsi="Arial" w:cs="Arial"/>
                <w:sz w:val="24"/>
                <w:szCs w:val="24"/>
              </w:rPr>
              <w:t xml:space="preserve">project is funded through Growth Deal, ERDF and LCC capital programme. </w:t>
            </w:r>
            <w:r w:rsidRPr="00584DB6">
              <w:rPr>
                <w:rFonts w:ascii="Arial" w:hAnsi="Arial" w:cs="Arial"/>
                <w:sz w:val="24"/>
                <w:szCs w:val="24"/>
              </w:rPr>
              <w:t xml:space="preserve">  </w:t>
            </w:r>
            <w:r w:rsidRPr="00584DB6">
              <w:rPr>
                <w:rFonts w:ascii="Arial" w:hAnsi="Arial" w:cs="Arial"/>
                <w:sz w:val="24"/>
                <w:szCs w:val="24"/>
              </w:rPr>
              <w:t xml:space="preserve"> </w:t>
            </w:r>
          </w:p>
        </w:tc>
        <w:tc>
          <w:tcPr>
            <w:tcW w:w="1560" w:type="dxa"/>
          </w:tcPr>
          <w:p w:rsidR="00584DB6" w:rsidRPr="00584DB6" w:rsidRDefault="00A364AB" w:rsidP="00A364AB">
            <w:pPr>
              <w:rPr>
                <w:rFonts w:ascii="Arial" w:hAnsi="Arial" w:cs="Arial"/>
                <w:sz w:val="24"/>
                <w:szCs w:val="24"/>
              </w:rPr>
            </w:pPr>
          </w:p>
        </w:tc>
        <w:tc>
          <w:tcPr>
            <w:tcW w:w="1407" w:type="dxa"/>
          </w:tcPr>
          <w:p w:rsidR="00584DB6" w:rsidRPr="00584DB6" w:rsidRDefault="00A364AB" w:rsidP="00A364AB">
            <w:pPr>
              <w:rPr>
                <w:rFonts w:ascii="Arial" w:hAnsi="Arial" w:cs="Arial"/>
                <w:sz w:val="24"/>
                <w:szCs w:val="24"/>
              </w:rPr>
            </w:pPr>
            <w:r w:rsidRPr="00584DB6">
              <w:rPr>
                <w:rFonts w:ascii="Arial" w:hAnsi="Arial" w:cs="Arial"/>
                <w:sz w:val="24"/>
                <w:szCs w:val="24"/>
              </w:rPr>
              <w:t>-2.128</w:t>
            </w:r>
          </w:p>
        </w:tc>
      </w:tr>
      <w:tr w:rsidR="00584DB6" w:rsidRPr="00661DCC">
        <w:trPr>
          <w:trHeight w:val="276"/>
        </w:trPr>
        <w:tc>
          <w:tcPr>
            <w:tcW w:w="7366" w:type="dxa"/>
          </w:tcPr>
          <w:p w:rsidR="00584DB6" w:rsidRPr="00661DCC" w:rsidRDefault="00A364AB" w:rsidP="00A364AB">
            <w:pPr>
              <w:rPr>
                <w:rFonts w:ascii="Arial" w:hAnsi="Arial" w:cs="Arial"/>
                <w:b/>
                <w:sz w:val="24"/>
                <w:szCs w:val="24"/>
              </w:rPr>
            </w:pPr>
            <w:r w:rsidRPr="00661DCC">
              <w:rPr>
                <w:rFonts w:ascii="Arial" w:hAnsi="Arial" w:cs="Arial"/>
                <w:b/>
                <w:sz w:val="24"/>
                <w:szCs w:val="24"/>
              </w:rPr>
              <w:t>Overall changes to the model in the year 2015-16</w:t>
            </w:r>
          </w:p>
        </w:tc>
        <w:tc>
          <w:tcPr>
            <w:tcW w:w="1560" w:type="dxa"/>
          </w:tcPr>
          <w:p w:rsidR="00584DB6" w:rsidRPr="00661DCC" w:rsidRDefault="00A364AB" w:rsidP="00A364AB">
            <w:pPr>
              <w:rPr>
                <w:rFonts w:ascii="Arial" w:hAnsi="Arial" w:cs="Arial"/>
                <w:b/>
                <w:sz w:val="24"/>
                <w:szCs w:val="24"/>
              </w:rPr>
            </w:pPr>
          </w:p>
        </w:tc>
        <w:tc>
          <w:tcPr>
            <w:tcW w:w="1407" w:type="dxa"/>
          </w:tcPr>
          <w:p w:rsidR="00584DB6" w:rsidRPr="00661DCC" w:rsidRDefault="00A364AB" w:rsidP="00A364AB">
            <w:pPr>
              <w:rPr>
                <w:rFonts w:ascii="Arial" w:hAnsi="Arial" w:cs="Arial"/>
                <w:b/>
                <w:sz w:val="24"/>
                <w:szCs w:val="24"/>
              </w:rPr>
            </w:pPr>
            <w:r w:rsidRPr="00661DCC">
              <w:rPr>
                <w:rFonts w:ascii="Arial" w:hAnsi="Arial" w:cs="Arial"/>
                <w:b/>
                <w:sz w:val="24"/>
                <w:szCs w:val="24"/>
              </w:rPr>
              <w:t xml:space="preserve">7.765m </w:t>
            </w:r>
          </w:p>
        </w:tc>
      </w:tr>
    </w:tbl>
    <w:p w:rsidR="00584DB6" w:rsidRPr="00661DCC" w:rsidRDefault="00A364AB" w:rsidP="00A364AB">
      <w:pPr>
        <w:spacing w:after="0" w:line="240" w:lineRule="auto"/>
        <w:rPr>
          <w:rFonts w:ascii="Arial" w:hAnsi="Arial" w:cs="Arial"/>
          <w:b/>
          <w:sz w:val="24"/>
          <w:szCs w:val="24"/>
        </w:rPr>
      </w:pPr>
    </w:p>
    <w:p w:rsidR="00584DB6" w:rsidRDefault="00A364AB" w:rsidP="00A364AB">
      <w:pPr>
        <w:spacing w:after="0" w:line="240" w:lineRule="auto"/>
        <w:rPr>
          <w:rFonts w:ascii="Arial" w:hAnsi="Arial" w:cs="Arial"/>
          <w:b/>
          <w:sz w:val="24"/>
          <w:szCs w:val="24"/>
        </w:rPr>
      </w:pPr>
      <w:r w:rsidRPr="00661DCC">
        <w:rPr>
          <w:rFonts w:ascii="Arial" w:hAnsi="Arial" w:cs="Arial"/>
          <w:b/>
          <w:sz w:val="24"/>
          <w:szCs w:val="24"/>
        </w:rPr>
        <w:t>2015-16 review of annual performa</w:t>
      </w:r>
      <w:r w:rsidRPr="00661DCC">
        <w:rPr>
          <w:rFonts w:ascii="Arial" w:hAnsi="Arial" w:cs="Arial"/>
          <w:b/>
          <w:sz w:val="24"/>
          <w:szCs w:val="24"/>
        </w:rPr>
        <w:t xml:space="preserve">nce </w:t>
      </w:r>
    </w:p>
    <w:p w:rsidR="00A364AB" w:rsidRPr="00661DCC" w:rsidRDefault="00A364AB" w:rsidP="00A364AB">
      <w:pPr>
        <w:spacing w:after="0" w:line="240" w:lineRule="auto"/>
        <w:rPr>
          <w:rFonts w:ascii="Arial" w:hAnsi="Arial" w:cs="Arial"/>
          <w:b/>
          <w:sz w:val="24"/>
          <w:szCs w:val="24"/>
        </w:rPr>
      </w:pPr>
    </w:p>
    <w:p w:rsidR="00584DB6" w:rsidRDefault="00A364AB" w:rsidP="00A364AB">
      <w:pPr>
        <w:spacing w:after="0" w:line="240" w:lineRule="auto"/>
        <w:jc w:val="both"/>
        <w:rPr>
          <w:rFonts w:ascii="Arial" w:hAnsi="Arial" w:cs="Arial"/>
          <w:sz w:val="24"/>
          <w:szCs w:val="24"/>
        </w:rPr>
      </w:pPr>
      <w:r w:rsidRPr="00661DCC">
        <w:rPr>
          <w:rFonts w:ascii="Arial" w:hAnsi="Arial" w:cs="Arial"/>
          <w:sz w:val="24"/>
          <w:szCs w:val="24"/>
        </w:rPr>
        <w:t xml:space="preserve">The annual position for 2015-16 as shown in the appended monitoring report shows actual net resources in the year of £4.825 compared to forecast net resources in the year of £4.290, a positive change of £ 0.535m for the year.  This is a net position </w:t>
      </w:r>
      <w:r w:rsidRPr="00661DCC">
        <w:rPr>
          <w:rFonts w:ascii="Arial" w:hAnsi="Arial" w:cs="Arial"/>
          <w:sz w:val="24"/>
          <w:szCs w:val="24"/>
        </w:rPr>
        <w:t xml:space="preserve">and reflects changes in profiling of items such as income from growth deal and LCC capital programme monies, resources due in from developer contributions on housing sites, advancement of expenditure on schemes such as the A582 roundabouts/ dualling works </w:t>
      </w:r>
      <w:r w:rsidRPr="00661DCC">
        <w:rPr>
          <w:rFonts w:ascii="Arial" w:hAnsi="Arial" w:cs="Arial"/>
          <w:sz w:val="24"/>
          <w:szCs w:val="24"/>
        </w:rPr>
        <w:t>and other minor schemes profile changes as is to be expected in a programme of this magnitude.   Whilst these changes show as variances in year</w:t>
      </w:r>
      <w:r>
        <w:rPr>
          <w:rFonts w:ascii="Arial" w:hAnsi="Arial" w:cs="Arial"/>
          <w:sz w:val="24"/>
          <w:szCs w:val="24"/>
        </w:rPr>
        <w:t>,</w:t>
      </w:r>
      <w:r w:rsidRPr="00661DCC">
        <w:rPr>
          <w:rFonts w:ascii="Arial" w:hAnsi="Arial" w:cs="Arial"/>
          <w:sz w:val="24"/>
          <w:szCs w:val="24"/>
        </w:rPr>
        <w:t xml:space="preserve"> none of these affect the overall forecast over the city deal period as they represent profiling changes only.  </w:t>
      </w:r>
    </w:p>
    <w:p w:rsidR="00A364AB" w:rsidRPr="00661DCC" w:rsidRDefault="00A364AB" w:rsidP="00A364AB">
      <w:pPr>
        <w:spacing w:after="0" w:line="240" w:lineRule="auto"/>
        <w:jc w:val="both"/>
        <w:rPr>
          <w:rFonts w:ascii="Arial" w:hAnsi="Arial" w:cs="Arial"/>
          <w:sz w:val="24"/>
          <w:szCs w:val="24"/>
        </w:rPr>
      </w:pPr>
    </w:p>
    <w:p w:rsidR="00584DB6" w:rsidRDefault="00A364AB" w:rsidP="00A364AB">
      <w:pPr>
        <w:spacing w:after="0" w:line="240" w:lineRule="auto"/>
        <w:jc w:val="both"/>
        <w:rPr>
          <w:rFonts w:ascii="Arial" w:hAnsi="Arial" w:cs="Arial"/>
          <w:b/>
          <w:sz w:val="24"/>
          <w:szCs w:val="24"/>
        </w:rPr>
      </w:pPr>
      <w:r w:rsidRPr="00661DCC">
        <w:rPr>
          <w:rFonts w:ascii="Arial" w:hAnsi="Arial" w:cs="Arial"/>
          <w:b/>
          <w:sz w:val="24"/>
          <w:szCs w:val="24"/>
        </w:rPr>
        <w:t>Key risks to the model</w:t>
      </w:r>
    </w:p>
    <w:p w:rsidR="00A364AB" w:rsidRPr="00661DCC" w:rsidRDefault="00A364AB" w:rsidP="00A364AB">
      <w:pPr>
        <w:spacing w:after="0" w:line="240" w:lineRule="auto"/>
        <w:jc w:val="both"/>
        <w:rPr>
          <w:rFonts w:ascii="Arial" w:hAnsi="Arial" w:cs="Arial"/>
          <w:sz w:val="24"/>
          <w:szCs w:val="24"/>
        </w:rPr>
      </w:pPr>
    </w:p>
    <w:p w:rsidR="00584DB6" w:rsidRDefault="00A364AB" w:rsidP="00A364AB">
      <w:pPr>
        <w:spacing w:after="0" w:line="240" w:lineRule="auto"/>
        <w:jc w:val="both"/>
        <w:rPr>
          <w:rFonts w:ascii="Arial" w:hAnsi="Arial" w:cs="Arial"/>
          <w:b/>
          <w:sz w:val="24"/>
          <w:szCs w:val="24"/>
        </w:rPr>
      </w:pPr>
      <w:r w:rsidRPr="00661DCC">
        <w:rPr>
          <w:rFonts w:ascii="Arial" w:hAnsi="Arial" w:cs="Arial"/>
          <w:b/>
          <w:sz w:val="24"/>
          <w:szCs w:val="24"/>
        </w:rPr>
        <w:t xml:space="preserve">Resources </w:t>
      </w:r>
    </w:p>
    <w:p w:rsidR="00A364AB" w:rsidRPr="00661DCC" w:rsidRDefault="00A364AB" w:rsidP="00A364AB">
      <w:pPr>
        <w:spacing w:after="0" w:line="240" w:lineRule="auto"/>
        <w:jc w:val="both"/>
        <w:rPr>
          <w:rFonts w:ascii="Arial" w:hAnsi="Arial" w:cs="Arial"/>
          <w:b/>
          <w:sz w:val="24"/>
          <w:szCs w:val="24"/>
        </w:rPr>
      </w:pPr>
    </w:p>
    <w:p w:rsidR="00584DB6" w:rsidRPr="00661DCC" w:rsidRDefault="00A364AB" w:rsidP="00A364AB">
      <w:pPr>
        <w:spacing w:after="0" w:line="240" w:lineRule="auto"/>
        <w:jc w:val="both"/>
        <w:rPr>
          <w:rFonts w:ascii="Arial" w:hAnsi="Arial" w:cs="Arial"/>
          <w:sz w:val="24"/>
          <w:szCs w:val="24"/>
        </w:rPr>
      </w:pPr>
      <w:r w:rsidRPr="00661DCC">
        <w:rPr>
          <w:rFonts w:ascii="Arial" w:hAnsi="Arial" w:cs="Arial"/>
          <w:sz w:val="24"/>
          <w:szCs w:val="24"/>
        </w:rPr>
        <w:t>Whilst most of the income to the model is fixed in commitment or capped amounts</w:t>
      </w:r>
      <w:r>
        <w:rPr>
          <w:rFonts w:ascii="Arial" w:hAnsi="Arial" w:cs="Arial"/>
          <w:sz w:val="24"/>
          <w:szCs w:val="24"/>
        </w:rPr>
        <w:t xml:space="preserve"> (</w:t>
      </w:r>
      <w:r w:rsidRPr="00661DCC">
        <w:rPr>
          <w:rFonts w:ascii="Arial" w:hAnsi="Arial" w:cs="Arial"/>
          <w:sz w:val="24"/>
          <w:szCs w:val="24"/>
        </w:rPr>
        <w:t xml:space="preserve">with the exclusion of changes to Government policy and how those might affect the model which are </w:t>
      </w:r>
      <w:r>
        <w:rPr>
          <w:rFonts w:ascii="Arial" w:hAnsi="Arial" w:cs="Arial"/>
          <w:sz w:val="24"/>
          <w:szCs w:val="24"/>
        </w:rPr>
        <w:t>being considered by the City Deal Executiv</w:t>
      </w:r>
      <w:r>
        <w:rPr>
          <w:rFonts w:ascii="Arial" w:hAnsi="Arial" w:cs="Arial"/>
          <w:sz w:val="24"/>
          <w:szCs w:val="24"/>
        </w:rPr>
        <w:t>e and Stewardship Board) t</w:t>
      </w:r>
      <w:r w:rsidRPr="00661DCC">
        <w:rPr>
          <w:rFonts w:ascii="Arial" w:hAnsi="Arial" w:cs="Arial"/>
          <w:sz w:val="24"/>
          <w:szCs w:val="24"/>
        </w:rPr>
        <w:t xml:space="preserve">he main risk to the model in terms of income is </w:t>
      </w:r>
      <w:r>
        <w:rPr>
          <w:rFonts w:ascii="Arial" w:hAnsi="Arial" w:cs="Arial"/>
          <w:sz w:val="24"/>
          <w:szCs w:val="24"/>
        </w:rPr>
        <w:t>certainty of</w:t>
      </w:r>
      <w:r w:rsidRPr="00661DCC">
        <w:rPr>
          <w:rFonts w:ascii="Arial" w:hAnsi="Arial" w:cs="Arial"/>
          <w:sz w:val="24"/>
          <w:szCs w:val="24"/>
        </w:rPr>
        <w:t xml:space="preserve"> </w:t>
      </w:r>
      <w:r>
        <w:rPr>
          <w:rFonts w:ascii="Arial" w:hAnsi="Arial" w:cs="Arial"/>
          <w:sz w:val="24"/>
          <w:szCs w:val="24"/>
        </w:rPr>
        <w:t xml:space="preserve">securing </w:t>
      </w:r>
      <w:r w:rsidRPr="00661DCC">
        <w:rPr>
          <w:rFonts w:ascii="Arial" w:hAnsi="Arial" w:cs="Arial"/>
          <w:sz w:val="24"/>
          <w:szCs w:val="24"/>
        </w:rPr>
        <w:t>developer contributions</w:t>
      </w:r>
      <w:r>
        <w:rPr>
          <w:rFonts w:ascii="Arial" w:hAnsi="Arial" w:cs="Arial"/>
          <w:sz w:val="24"/>
          <w:szCs w:val="24"/>
        </w:rPr>
        <w:t xml:space="preserve"> in line with the expectations at the outset of the City Deal. </w:t>
      </w:r>
    </w:p>
    <w:p w:rsidR="00584DB6" w:rsidRDefault="00A364AB" w:rsidP="00A364AB">
      <w:pPr>
        <w:spacing w:after="0" w:line="240" w:lineRule="auto"/>
        <w:jc w:val="both"/>
        <w:rPr>
          <w:rFonts w:ascii="Arial" w:hAnsi="Arial" w:cs="Arial"/>
          <w:sz w:val="24"/>
          <w:szCs w:val="24"/>
        </w:rPr>
      </w:pPr>
      <w:r w:rsidRPr="00661DCC">
        <w:rPr>
          <w:rFonts w:ascii="Arial" w:hAnsi="Arial" w:cs="Arial"/>
          <w:sz w:val="24"/>
          <w:szCs w:val="24"/>
        </w:rPr>
        <w:t xml:space="preserve">The total of these in the current model is £102.965m after building in increased rates and the modelling of </w:t>
      </w:r>
      <w:r>
        <w:rPr>
          <w:rFonts w:ascii="Arial" w:hAnsi="Arial" w:cs="Arial"/>
          <w:sz w:val="24"/>
          <w:szCs w:val="24"/>
        </w:rPr>
        <w:t>those</w:t>
      </w:r>
      <w:r w:rsidRPr="00661DCC">
        <w:rPr>
          <w:rFonts w:ascii="Arial" w:hAnsi="Arial" w:cs="Arial"/>
          <w:sz w:val="24"/>
          <w:szCs w:val="24"/>
        </w:rPr>
        <w:t xml:space="preserve"> sites </w:t>
      </w:r>
      <w:r>
        <w:rPr>
          <w:rFonts w:ascii="Arial" w:hAnsi="Arial" w:cs="Arial"/>
          <w:sz w:val="24"/>
          <w:szCs w:val="24"/>
        </w:rPr>
        <w:t>/ units which</w:t>
      </w:r>
      <w:r w:rsidRPr="00661DCC">
        <w:rPr>
          <w:rFonts w:ascii="Arial" w:hAnsi="Arial" w:cs="Arial"/>
          <w:sz w:val="24"/>
          <w:szCs w:val="24"/>
        </w:rPr>
        <w:t xml:space="preserve"> will attract </w:t>
      </w:r>
      <w:r>
        <w:rPr>
          <w:rFonts w:ascii="Arial" w:hAnsi="Arial" w:cs="Arial"/>
          <w:sz w:val="24"/>
          <w:szCs w:val="24"/>
        </w:rPr>
        <w:t>CIL</w:t>
      </w:r>
      <w:r w:rsidRPr="00661DCC">
        <w:rPr>
          <w:rFonts w:ascii="Arial" w:hAnsi="Arial" w:cs="Arial"/>
          <w:sz w:val="24"/>
          <w:szCs w:val="24"/>
        </w:rPr>
        <w:t xml:space="preserve"> and other contributions.  </w:t>
      </w:r>
      <w:r w:rsidRPr="00824215">
        <w:rPr>
          <w:rFonts w:ascii="Arial" w:hAnsi="Arial" w:cs="Arial"/>
          <w:sz w:val="24"/>
          <w:szCs w:val="24"/>
        </w:rPr>
        <w:t xml:space="preserve">£24.862m of this is expected to come into the model in the </w:t>
      </w:r>
      <w:r>
        <w:rPr>
          <w:rFonts w:ascii="Arial" w:hAnsi="Arial" w:cs="Arial"/>
          <w:sz w:val="24"/>
          <w:szCs w:val="24"/>
        </w:rPr>
        <w:t>“run-on”</w:t>
      </w:r>
      <w:r w:rsidRPr="00824215">
        <w:rPr>
          <w:rFonts w:ascii="Arial" w:hAnsi="Arial" w:cs="Arial"/>
          <w:sz w:val="24"/>
          <w:szCs w:val="24"/>
        </w:rPr>
        <w:t xml:space="preserve"> period of y</w:t>
      </w:r>
      <w:r>
        <w:rPr>
          <w:rFonts w:ascii="Arial" w:hAnsi="Arial" w:cs="Arial"/>
          <w:sz w:val="24"/>
          <w:szCs w:val="24"/>
        </w:rPr>
        <w:t xml:space="preserve">ears </w:t>
      </w:r>
      <w:r w:rsidRPr="00824215">
        <w:rPr>
          <w:rFonts w:ascii="Arial" w:hAnsi="Arial" w:cs="Arial"/>
          <w:sz w:val="24"/>
          <w:szCs w:val="24"/>
        </w:rPr>
        <w:t>11-15 due to reported slippage in sites being brought forward for development.</w:t>
      </w:r>
      <w:r w:rsidRPr="00661DCC">
        <w:rPr>
          <w:rFonts w:ascii="Arial" w:hAnsi="Arial" w:cs="Arial"/>
          <w:sz w:val="24"/>
          <w:szCs w:val="24"/>
        </w:rPr>
        <w:t xml:space="preserve"> This also has an impact over the time that LCC </w:t>
      </w:r>
      <w:r>
        <w:rPr>
          <w:rFonts w:ascii="Arial" w:hAnsi="Arial" w:cs="Arial"/>
          <w:sz w:val="24"/>
          <w:szCs w:val="24"/>
        </w:rPr>
        <w:t>will have</w:t>
      </w:r>
      <w:r w:rsidRPr="00661DCC">
        <w:rPr>
          <w:rFonts w:ascii="Arial" w:hAnsi="Arial" w:cs="Arial"/>
          <w:sz w:val="24"/>
          <w:szCs w:val="24"/>
        </w:rPr>
        <w:t xml:space="preserve"> to cash flow the </w:t>
      </w:r>
      <w:r>
        <w:rPr>
          <w:rFonts w:ascii="Arial" w:hAnsi="Arial" w:cs="Arial"/>
          <w:sz w:val="24"/>
          <w:szCs w:val="24"/>
        </w:rPr>
        <w:t>C</w:t>
      </w:r>
      <w:r w:rsidRPr="00661DCC">
        <w:rPr>
          <w:rFonts w:ascii="Arial" w:hAnsi="Arial" w:cs="Arial"/>
          <w:sz w:val="24"/>
          <w:szCs w:val="24"/>
        </w:rPr>
        <w:t xml:space="preserve">ity </w:t>
      </w:r>
      <w:r>
        <w:rPr>
          <w:rFonts w:ascii="Arial" w:hAnsi="Arial" w:cs="Arial"/>
          <w:sz w:val="24"/>
          <w:szCs w:val="24"/>
        </w:rPr>
        <w:t>D</w:t>
      </w:r>
      <w:r w:rsidRPr="00661DCC">
        <w:rPr>
          <w:rFonts w:ascii="Arial" w:hAnsi="Arial" w:cs="Arial"/>
          <w:sz w:val="24"/>
          <w:szCs w:val="24"/>
        </w:rPr>
        <w:t xml:space="preserve">eal over and the resulting finance charges incurred.   </w:t>
      </w:r>
    </w:p>
    <w:p w:rsidR="00A364AB" w:rsidRPr="00661DCC" w:rsidRDefault="00A364AB" w:rsidP="00A364AB">
      <w:pPr>
        <w:spacing w:after="0" w:line="240" w:lineRule="auto"/>
        <w:jc w:val="both"/>
        <w:rPr>
          <w:rFonts w:ascii="Arial" w:hAnsi="Arial" w:cs="Arial"/>
          <w:sz w:val="24"/>
          <w:szCs w:val="24"/>
        </w:rPr>
      </w:pPr>
    </w:p>
    <w:p w:rsidR="00A364AB" w:rsidRDefault="00A364AB" w:rsidP="00A364AB">
      <w:pPr>
        <w:spacing w:after="0" w:line="240" w:lineRule="auto"/>
        <w:jc w:val="both"/>
        <w:rPr>
          <w:rFonts w:ascii="Arial" w:hAnsi="Arial" w:cs="Arial"/>
          <w:sz w:val="24"/>
          <w:szCs w:val="24"/>
        </w:rPr>
      </w:pPr>
      <w:r>
        <w:rPr>
          <w:rFonts w:ascii="Arial" w:hAnsi="Arial" w:cs="Arial"/>
          <w:sz w:val="24"/>
          <w:szCs w:val="24"/>
        </w:rPr>
        <w:t>While there is more certainty with r</w:t>
      </w:r>
      <w:r>
        <w:rPr>
          <w:rFonts w:ascii="Arial" w:hAnsi="Arial" w:cs="Arial"/>
          <w:sz w:val="24"/>
          <w:szCs w:val="24"/>
        </w:rPr>
        <w:t>egard to the CIL element of developer contributions, within</w:t>
      </w:r>
      <w:r w:rsidRPr="00661DCC">
        <w:rPr>
          <w:rFonts w:ascii="Arial" w:hAnsi="Arial" w:cs="Arial"/>
          <w:sz w:val="24"/>
          <w:szCs w:val="24"/>
        </w:rPr>
        <w:t xml:space="preserve"> this </w:t>
      </w:r>
      <w:r>
        <w:rPr>
          <w:rFonts w:ascii="Arial" w:hAnsi="Arial" w:cs="Arial"/>
          <w:sz w:val="24"/>
          <w:szCs w:val="24"/>
        </w:rPr>
        <w:t xml:space="preserve">total figure of </w:t>
      </w:r>
      <w:r w:rsidRPr="00661DCC">
        <w:rPr>
          <w:rFonts w:ascii="Arial" w:hAnsi="Arial" w:cs="Arial"/>
          <w:sz w:val="24"/>
          <w:szCs w:val="24"/>
        </w:rPr>
        <w:t xml:space="preserve">£102.965m </w:t>
      </w:r>
      <w:r>
        <w:rPr>
          <w:rFonts w:ascii="Arial" w:hAnsi="Arial" w:cs="Arial"/>
          <w:sz w:val="24"/>
          <w:szCs w:val="24"/>
        </w:rPr>
        <w:t>there is also</w:t>
      </w:r>
      <w:r w:rsidRPr="00661DCC">
        <w:rPr>
          <w:rFonts w:ascii="Arial" w:hAnsi="Arial" w:cs="Arial"/>
          <w:sz w:val="24"/>
          <w:szCs w:val="24"/>
        </w:rPr>
        <w:t xml:space="preserve"> £49.408 </w:t>
      </w:r>
      <w:r>
        <w:rPr>
          <w:rFonts w:ascii="Arial" w:hAnsi="Arial" w:cs="Arial"/>
          <w:sz w:val="24"/>
          <w:szCs w:val="24"/>
        </w:rPr>
        <w:t>which</w:t>
      </w:r>
      <w:r w:rsidRPr="00661DCC">
        <w:rPr>
          <w:rFonts w:ascii="Arial" w:hAnsi="Arial" w:cs="Arial"/>
          <w:sz w:val="24"/>
          <w:szCs w:val="24"/>
        </w:rPr>
        <w:t xml:space="preserve"> relate</w:t>
      </w:r>
      <w:r>
        <w:rPr>
          <w:rFonts w:ascii="Arial" w:hAnsi="Arial" w:cs="Arial"/>
          <w:sz w:val="24"/>
          <w:szCs w:val="24"/>
        </w:rPr>
        <w:t>s</w:t>
      </w:r>
      <w:r w:rsidRPr="00661DCC">
        <w:rPr>
          <w:rFonts w:ascii="Arial" w:hAnsi="Arial" w:cs="Arial"/>
          <w:sz w:val="24"/>
          <w:szCs w:val="24"/>
        </w:rPr>
        <w:t xml:space="preserve"> to </w:t>
      </w:r>
      <w:r>
        <w:rPr>
          <w:rFonts w:ascii="Arial" w:hAnsi="Arial" w:cs="Arial"/>
          <w:sz w:val="24"/>
          <w:szCs w:val="24"/>
        </w:rPr>
        <w:t xml:space="preserve">“other developer contributions”, sometimes referred to as CIL Plus, and which includes monies payable through, for example, </w:t>
      </w:r>
      <w:r w:rsidRPr="00661DCC">
        <w:rPr>
          <w:rFonts w:ascii="Arial" w:hAnsi="Arial" w:cs="Arial"/>
          <w:sz w:val="24"/>
          <w:szCs w:val="24"/>
        </w:rPr>
        <w:t>se</w:t>
      </w:r>
      <w:r w:rsidRPr="00661DCC">
        <w:rPr>
          <w:rFonts w:ascii="Arial" w:hAnsi="Arial" w:cs="Arial"/>
          <w:sz w:val="24"/>
          <w:szCs w:val="24"/>
        </w:rPr>
        <w:t>ction 106/ 278 agreements</w:t>
      </w:r>
      <w:r>
        <w:rPr>
          <w:rFonts w:ascii="Arial" w:hAnsi="Arial" w:cs="Arial"/>
          <w:sz w:val="24"/>
          <w:szCs w:val="24"/>
        </w:rPr>
        <w:t xml:space="preserve">. While there </w:t>
      </w:r>
      <w:r w:rsidRPr="00661DCC">
        <w:rPr>
          <w:rFonts w:ascii="Arial" w:hAnsi="Arial" w:cs="Arial"/>
          <w:sz w:val="24"/>
          <w:szCs w:val="24"/>
        </w:rPr>
        <w:t xml:space="preserve">is a commitment in the </w:t>
      </w:r>
      <w:r>
        <w:rPr>
          <w:rFonts w:ascii="Arial" w:hAnsi="Arial" w:cs="Arial"/>
          <w:sz w:val="24"/>
          <w:szCs w:val="24"/>
        </w:rPr>
        <w:t>H</w:t>
      </w:r>
      <w:r w:rsidRPr="00661DCC">
        <w:rPr>
          <w:rFonts w:ascii="Arial" w:hAnsi="Arial" w:cs="Arial"/>
          <w:sz w:val="24"/>
          <w:szCs w:val="24"/>
        </w:rPr>
        <w:t xml:space="preserve">eads of </w:t>
      </w:r>
      <w:r>
        <w:rPr>
          <w:rFonts w:ascii="Arial" w:hAnsi="Arial" w:cs="Arial"/>
          <w:sz w:val="24"/>
          <w:szCs w:val="24"/>
        </w:rPr>
        <w:t>T</w:t>
      </w:r>
      <w:r w:rsidRPr="00661DCC">
        <w:rPr>
          <w:rFonts w:ascii="Arial" w:hAnsi="Arial" w:cs="Arial"/>
          <w:sz w:val="24"/>
          <w:szCs w:val="24"/>
        </w:rPr>
        <w:t xml:space="preserve">erms for these amounts to be </w:t>
      </w:r>
      <w:r>
        <w:rPr>
          <w:rFonts w:ascii="Arial" w:hAnsi="Arial" w:cs="Arial"/>
          <w:sz w:val="24"/>
          <w:szCs w:val="24"/>
        </w:rPr>
        <w:t>secured</w:t>
      </w:r>
      <w:r w:rsidRPr="00661DCC">
        <w:rPr>
          <w:rFonts w:ascii="Arial" w:hAnsi="Arial" w:cs="Arial"/>
          <w:sz w:val="24"/>
          <w:szCs w:val="24"/>
        </w:rPr>
        <w:t xml:space="preserve"> from developers</w:t>
      </w:r>
      <w:r>
        <w:rPr>
          <w:rFonts w:ascii="Arial" w:hAnsi="Arial" w:cs="Arial"/>
          <w:sz w:val="24"/>
          <w:szCs w:val="24"/>
        </w:rPr>
        <w:t xml:space="preserve"> there are a number of technical issues in relation to ensuring these amounts can be collected and transferred to the model.</w:t>
      </w:r>
    </w:p>
    <w:p w:rsidR="00A364AB" w:rsidRDefault="00A364AB" w:rsidP="00A364AB">
      <w:pPr>
        <w:spacing w:after="0" w:line="240" w:lineRule="auto"/>
        <w:jc w:val="both"/>
        <w:rPr>
          <w:rFonts w:ascii="Arial" w:hAnsi="Arial" w:cs="Arial"/>
          <w:sz w:val="24"/>
          <w:szCs w:val="24"/>
        </w:rPr>
      </w:pPr>
      <w:r>
        <w:rPr>
          <w:rFonts w:ascii="Arial" w:hAnsi="Arial" w:cs="Arial"/>
          <w:sz w:val="24"/>
          <w:szCs w:val="24"/>
        </w:rPr>
        <w:t xml:space="preserve"> </w:t>
      </w:r>
    </w:p>
    <w:p w:rsidR="00584DB6" w:rsidRDefault="00A364AB" w:rsidP="00A364AB">
      <w:pPr>
        <w:spacing w:after="0" w:line="240" w:lineRule="auto"/>
        <w:jc w:val="both"/>
        <w:rPr>
          <w:rFonts w:ascii="Arial" w:hAnsi="Arial" w:cs="Arial"/>
          <w:sz w:val="24"/>
          <w:szCs w:val="24"/>
        </w:rPr>
      </w:pPr>
      <w:r>
        <w:rPr>
          <w:rFonts w:ascii="Arial" w:hAnsi="Arial" w:cs="Arial"/>
          <w:sz w:val="24"/>
          <w:szCs w:val="24"/>
        </w:rPr>
        <w:t>It shou</w:t>
      </w:r>
      <w:r>
        <w:rPr>
          <w:rFonts w:ascii="Arial" w:hAnsi="Arial" w:cs="Arial"/>
          <w:sz w:val="24"/>
          <w:szCs w:val="24"/>
        </w:rPr>
        <w:t>ld be noted that t</w:t>
      </w:r>
      <w:r w:rsidRPr="00661DCC">
        <w:rPr>
          <w:rFonts w:ascii="Arial" w:hAnsi="Arial" w:cs="Arial"/>
          <w:sz w:val="24"/>
          <w:szCs w:val="24"/>
        </w:rPr>
        <w:t>o date £32.746m of these have</w:t>
      </w:r>
      <w:r>
        <w:rPr>
          <w:rFonts w:ascii="Arial" w:hAnsi="Arial" w:cs="Arial"/>
          <w:sz w:val="24"/>
          <w:szCs w:val="24"/>
        </w:rPr>
        <w:t xml:space="preserve"> already</w:t>
      </w:r>
      <w:r w:rsidRPr="00661DCC">
        <w:rPr>
          <w:rFonts w:ascii="Arial" w:hAnsi="Arial" w:cs="Arial"/>
          <w:sz w:val="24"/>
          <w:szCs w:val="24"/>
        </w:rPr>
        <w:t xml:space="preserve"> been secured leaving an amount of £16.662m still to be sought. This represents a risk to the model remaining in balance as should these not be secured</w:t>
      </w:r>
      <w:r>
        <w:rPr>
          <w:rFonts w:ascii="Arial" w:hAnsi="Arial" w:cs="Arial"/>
          <w:sz w:val="24"/>
          <w:szCs w:val="24"/>
        </w:rPr>
        <w:t>,</w:t>
      </w:r>
      <w:r w:rsidRPr="00661DCC">
        <w:rPr>
          <w:rFonts w:ascii="Arial" w:hAnsi="Arial" w:cs="Arial"/>
          <w:sz w:val="24"/>
          <w:szCs w:val="24"/>
        </w:rPr>
        <w:t xml:space="preserve"> expenditure and resource forecasts will not rema</w:t>
      </w:r>
      <w:r w:rsidRPr="00661DCC">
        <w:rPr>
          <w:rFonts w:ascii="Arial" w:hAnsi="Arial" w:cs="Arial"/>
          <w:sz w:val="24"/>
          <w:szCs w:val="24"/>
        </w:rPr>
        <w:t xml:space="preserve">in aligned.  </w:t>
      </w:r>
      <w:r>
        <w:rPr>
          <w:rFonts w:ascii="Arial" w:hAnsi="Arial" w:cs="Arial"/>
          <w:sz w:val="24"/>
          <w:szCs w:val="24"/>
        </w:rPr>
        <w:t xml:space="preserve">As part of the ongoing Resources Review Keppie Massie are testing all the assumptions relating to </w:t>
      </w:r>
      <w:r>
        <w:rPr>
          <w:rFonts w:ascii="Arial" w:hAnsi="Arial" w:cs="Arial"/>
          <w:sz w:val="24"/>
          <w:szCs w:val="24"/>
        </w:rPr>
        <w:t xml:space="preserve">all </w:t>
      </w:r>
      <w:r>
        <w:rPr>
          <w:rFonts w:ascii="Arial" w:hAnsi="Arial" w:cs="Arial"/>
          <w:sz w:val="24"/>
          <w:szCs w:val="24"/>
        </w:rPr>
        <w:t xml:space="preserve">developer contributions within the model. </w:t>
      </w:r>
    </w:p>
    <w:p w:rsidR="00A364AB" w:rsidRPr="00661DCC" w:rsidRDefault="00A364AB" w:rsidP="00A364AB">
      <w:pPr>
        <w:spacing w:after="0" w:line="240" w:lineRule="auto"/>
        <w:jc w:val="both"/>
        <w:rPr>
          <w:rFonts w:ascii="Arial" w:hAnsi="Arial" w:cs="Arial"/>
          <w:sz w:val="24"/>
          <w:szCs w:val="24"/>
        </w:rPr>
      </w:pPr>
    </w:p>
    <w:p w:rsidR="00584DB6" w:rsidRDefault="00A364AB" w:rsidP="00A364AB">
      <w:pPr>
        <w:spacing w:after="0" w:line="240" w:lineRule="auto"/>
        <w:jc w:val="both"/>
        <w:rPr>
          <w:rFonts w:ascii="Arial" w:hAnsi="Arial" w:cs="Arial"/>
          <w:b/>
          <w:sz w:val="24"/>
          <w:szCs w:val="24"/>
        </w:rPr>
      </w:pPr>
      <w:r w:rsidRPr="00661DCC">
        <w:rPr>
          <w:rFonts w:ascii="Arial" w:hAnsi="Arial" w:cs="Arial"/>
          <w:b/>
          <w:sz w:val="24"/>
          <w:szCs w:val="24"/>
        </w:rPr>
        <w:t>Expenditure</w:t>
      </w:r>
    </w:p>
    <w:p w:rsidR="00A364AB" w:rsidRPr="00661DCC" w:rsidRDefault="00A364AB" w:rsidP="00A364AB">
      <w:pPr>
        <w:spacing w:after="0" w:line="240" w:lineRule="auto"/>
        <w:jc w:val="both"/>
        <w:rPr>
          <w:rFonts w:ascii="Arial" w:hAnsi="Arial" w:cs="Arial"/>
          <w:b/>
          <w:sz w:val="24"/>
          <w:szCs w:val="24"/>
        </w:rPr>
      </w:pPr>
    </w:p>
    <w:p w:rsidR="00584DB6" w:rsidRPr="00661DCC" w:rsidRDefault="00A364AB" w:rsidP="00A364AB">
      <w:pPr>
        <w:spacing w:after="0" w:line="240" w:lineRule="auto"/>
        <w:jc w:val="both"/>
        <w:rPr>
          <w:rFonts w:ascii="Arial" w:hAnsi="Arial" w:cs="Arial"/>
          <w:sz w:val="24"/>
          <w:szCs w:val="24"/>
        </w:rPr>
      </w:pPr>
      <w:r>
        <w:rPr>
          <w:rFonts w:ascii="Arial" w:hAnsi="Arial" w:cs="Arial"/>
          <w:sz w:val="24"/>
          <w:szCs w:val="24"/>
        </w:rPr>
        <w:t xml:space="preserve">To date, no </w:t>
      </w:r>
      <w:r>
        <w:rPr>
          <w:rFonts w:ascii="Arial" w:hAnsi="Arial" w:cs="Arial"/>
          <w:sz w:val="24"/>
          <w:szCs w:val="24"/>
        </w:rPr>
        <w:t xml:space="preserve">final </w:t>
      </w:r>
      <w:r>
        <w:rPr>
          <w:rFonts w:ascii="Arial" w:hAnsi="Arial" w:cs="Arial"/>
          <w:sz w:val="24"/>
          <w:szCs w:val="24"/>
        </w:rPr>
        <w:t>scheme funding gaps have been confirmed. The scheme estimates set ou</w:t>
      </w:r>
      <w:r>
        <w:rPr>
          <w:rFonts w:ascii="Arial" w:hAnsi="Arial" w:cs="Arial"/>
          <w:sz w:val="24"/>
          <w:szCs w:val="24"/>
        </w:rPr>
        <w:t>t in the model will continue to be refined and tested as schemes are subject to detailed design, preparation of cost estimates and tendering prior to implementation. The Infrastructure Delivery Steering Group has approved a process to ensure that final cos</w:t>
      </w:r>
      <w:r>
        <w:rPr>
          <w:rFonts w:ascii="Arial" w:hAnsi="Arial" w:cs="Arial"/>
          <w:sz w:val="24"/>
          <w:szCs w:val="24"/>
        </w:rPr>
        <w:t xml:space="preserve">ts are approved and schemes are fully funded prior to implementation.  </w:t>
      </w:r>
    </w:p>
    <w:p w:rsidR="00584DB6" w:rsidRPr="00661DCC" w:rsidRDefault="00A364AB" w:rsidP="003D728C">
      <w:pPr>
        <w:rPr>
          <w:rFonts w:ascii="Arial" w:hAnsi="Arial" w:cs="Arial"/>
          <w:sz w:val="24"/>
          <w:szCs w:val="24"/>
        </w:rPr>
      </w:pPr>
    </w:p>
    <w:sectPr w:rsidR="00584DB6" w:rsidRPr="00661DCC" w:rsidSect="00A364AB">
      <w:pgSz w:w="11906" w:h="16838"/>
      <w:pgMar w:top="720" w:right="1983"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C6328"/>
    <w:multiLevelType w:val="hybridMultilevel"/>
    <w:tmpl w:val="738E6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BC3A23"/>
    <w:multiLevelType w:val="hybridMultilevel"/>
    <w:tmpl w:val="442A6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8C"/>
    <w:rsid w:val="003D728C"/>
    <w:rsid w:val="00A364A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873CADB-9FCE-4485-A046-5582D348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28C"/>
    <w:pPr>
      <w:ind w:left="720"/>
      <w:contextualSpacing/>
    </w:pPr>
  </w:style>
  <w:style w:type="paragraph" w:styleId="BalloonText">
    <w:name w:val="Balloon Text"/>
    <w:basedOn w:val="Normal"/>
    <w:link w:val="BalloonTextChar"/>
    <w:uiPriority w:val="99"/>
    <w:semiHidden/>
    <w:unhideWhenUsed/>
    <w:rsid w:val="004D7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837"/>
    <w:rPr>
      <w:rFonts w:ascii="Segoe UI" w:hAnsi="Segoe UI" w:cs="Segoe UI"/>
      <w:sz w:val="18"/>
      <w:szCs w:val="18"/>
    </w:rPr>
  </w:style>
  <w:style w:type="table" w:styleId="TableGrid">
    <w:name w:val="Table Grid"/>
    <w:basedOn w:val="TableNormal"/>
    <w:uiPriority w:val="39"/>
    <w:rsid w:val="00075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1D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1070</Words>
  <Characters>6101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Ainsworth, Joanne</dc:creator>
  <cp:keywords/>
  <dc:description/>
  <cp:lastModifiedBy>Milroy, Andy</cp:lastModifiedBy>
  <cp:revision>2</cp:revision>
  <cp:lastPrinted>2016-06-06T08:48:00Z</cp:lastPrinted>
  <dcterms:created xsi:type="dcterms:W3CDTF">2016-06-16T15:31:00Z</dcterms:created>
  <dcterms:modified xsi:type="dcterms:W3CDTF">2016-06-16T15:31:00Z</dcterms:modified>
</cp:coreProperties>
</file>